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838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3882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300" w:type="dxa"/>
            <w:vAlign w:val="bottom"/>
            <w:gridSpan w:val="3"/>
          </w:tcPr>
          <w:p>
            <w:pPr>
              <w:ind w:left="1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KLEIN MYLES</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80"/>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0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80"/>
              <w:spacing w:after="0"/>
              <w:rPr>
                <w:sz w:val="20"/>
                <w:szCs w:val="20"/>
                <w:color w:val="auto"/>
              </w:rPr>
            </w:pPr>
            <w:r>
              <w:rPr>
                <w:rFonts w:ascii="Arial" w:cs="Arial" w:eastAsia="Arial" w:hAnsi="Arial"/>
                <w:sz w:val="13"/>
                <w:szCs w:val="13"/>
                <w:color w:val="auto"/>
                <w:w w:val="91"/>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3200" w:type="dxa"/>
            <w:vAlign w:val="bottom"/>
            <w:gridSpan w:val="4"/>
            <w:vMerge w:val="restart"/>
          </w:tcPr>
          <w:p>
            <w:pPr>
              <w:ind w:left="180"/>
              <w:spacing w:after="0"/>
              <w:rPr>
                <w:sz w:val="20"/>
                <w:szCs w:val="20"/>
                <w:color w:val="auto"/>
              </w:rPr>
            </w:pPr>
            <w:r>
              <w:rPr>
                <w:rFonts w:ascii="Arial" w:cs="Arial" w:eastAsia="Arial" w:hAnsi="Arial"/>
                <w:sz w:val="17"/>
                <w:szCs w:val="17"/>
                <w:color w:val="0000FF"/>
              </w:rPr>
              <w:t>04/08/2015</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200" w:type="dxa"/>
            <w:vAlign w:val="bottom"/>
            <w:gridSpan w:val="4"/>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21050 POINT PLACE #1406</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0"/>
          <w:szCs w:val="20"/>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0"/>
          <w:szCs w:val="20"/>
          <w:color w:val="auto"/>
        </w:rPr>
      </w:pPr>
    </w:p>
    <w:p>
      <w:pPr>
        <w:sectPr>
          <w:pgSz w:w="11900" w:h="16838" w:orient="portrait"/>
          <w:cols w:equalWidth="0" w:num="2">
            <w:col w:w="7980" w:space="73"/>
            <w:col w:w="3467"/>
          </w:cols>
          <w:pgMar w:left="240" w:top="225" w:right="1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AVENTURA</w:t>
            </w:r>
          </w:p>
        </w:tc>
        <w:tc>
          <w:tcPr>
            <w:tcW w:w="1020" w:type="dxa"/>
            <w:vAlign w:val="bottom"/>
          </w:tcPr>
          <w:p>
            <w:pPr>
              <w:ind w:left="180"/>
              <w:spacing w:after="0"/>
              <w:rPr>
                <w:sz w:val="20"/>
                <w:szCs w:val="20"/>
                <w:color w:val="auto"/>
              </w:rPr>
            </w:pPr>
            <w:r>
              <w:rPr>
                <w:rFonts w:ascii="Arial" w:cs="Arial" w:eastAsia="Arial" w:hAnsi="Arial"/>
                <w:sz w:val="17"/>
                <w:szCs w:val="17"/>
                <w:color w:val="0000FF"/>
              </w:rPr>
              <w:t>FL</w:t>
            </w:r>
          </w:p>
        </w:tc>
        <w:tc>
          <w:tcPr>
            <w:tcW w:w="1660" w:type="dxa"/>
            <w:vAlign w:val="bottom"/>
          </w:tcPr>
          <w:p>
            <w:pPr>
              <w:ind w:left="420"/>
              <w:spacing w:after="0"/>
              <w:rPr>
                <w:sz w:val="20"/>
                <w:szCs w:val="20"/>
                <w:color w:val="auto"/>
              </w:rPr>
            </w:pPr>
            <w:r>
              <w:rPr>
                <w:rFonts w:ascii="Arial" w:cs="Arial" w:eastAsia="Arial" w:hAnsi="Arial"/>
                <w:sz w:val="17"/>
                <w:szCs w:val="17"/>
                <w:color w:val="0000FF"/>
              </w:rPr>
              <w:t>33180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900" w:space="18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04/08/2015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5,495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24.67</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33,009</w:t>
            </w:r>
            <w:r>
              <w:rPr>
                <w:rFonts w:ascii="Arial" w:cs="Arial" w:eastAsia="Arial" w:hAnsi="Arial"/>
                <w:sz w:val="22"/>
                <w:szCs w:val="22"/>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04/08/2015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2,389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56.75</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92"/>
              </w:rPr>
              <w:t>30,620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04/08/2015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7,479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56.75</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92"/>
              </w:rPr>
              <w:t>23,141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7,601</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64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jc w:val="center"/>
              <w:ind w:left="7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9"/>
          </w:tcPr>
          <w:p>
            <w:pPr>
              <w:jc w:val="center"/>
              <w:ind w:left="35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40" w:type="dxa"/>
            <w:vAlign w:val="bottom"/>
          </w:tcPr>
          <w:p>
            <w:pPr>
              <w:ind w:left="60"/>
              <w:spacing w:after="0" w:line="148" w:lineRule="exact"/>
              <w:rPr>
                <w:sz w:val="20"/>
                <w:szCs w:val="20"/>
                <w:color w:val="auto"/>
              </w:rPr>
            </w:pPr>
            <w:r>
              <w:rPr>
                <w:rFonts w:ascii="Arial" w:cs="Arial" w:eastAsia="Arial" w:hAnsi="Arial"/>
                <w:sz w:val="13"/>
                <w:szCs w:val="13"/>
                <w:color w:val="0000FF"/>
              </w:rPr>
              <w:t>Settled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5,495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24.67</w:t>
            </w:r>
          </w:p>
        </w:tc>
        <w:tc>
          <w:tcPr>
            <w:tcW w:w="1120" w:type="dxa"/>
            <w:vAlign w:val="bottom"/>
            <w:vMerge w:val="restart"/>
          </w:tcPr>
          <w:p>
            <w:pPr>
              <w:jc w:val="right"/>
              <w:ind w:right="173"/>
              <w:spacing w:after="0" w:line="148" w:lineRule="exact"/>
              <w:rPr>
                <w:sz w:val="20"/>
                <w:szCs w:val="20"/>
                <w:color w:val="auto"/>
              </w:rPr>
            </w:pPr>
            <w:r>
              <w:rPr>
                <w:rFonts w:ascii="Arial" w:cs="Arial" w:eastAsia="Arial" w:hAnsi="Arial"/>
                <w:sz w:val="13"/>
                <w:szCs w:val="13"/>
                <w:color w:val="0000FF"/>
              </w:rPr>
              <w:t>04/08/2015</w:t>
            </w:r>
          </w:p>
        </w:tc>
        <w:tc>
          <w:tcPr>
            <w:tcW w:w="1120" w:type="dxa"/>
            <w:vAlign w:val="bottom"/>
          </w:tcPr>
          <w:p>
            <w:pPr>
              <w:spacing w:after="0"/>
              <w:rPr>
                <w:sz w:val="5"/>
                <w:szCs w:val="5"/>
                <w:color w:val="auto"/>
              </w:rPr>
            </w:pPr>
          </w:p>
        </w:tc>
        <w:tc>
          <w:tcPr>
            <w:tcW w:w="4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40" w:type="dxa"/>
            <w:vAlign w:val="bottom"/>
            <w:vMerge w:val="restart"/>
          </w:tcPr>
          <w:p>
            <w:pPr>
              <w:ind w:left="320"/>
              <w:spacing w:after="0" w:line="148" w:lineRule="exact"/>
              <w:rPr>
                <w:sz w:val="20"/>
                <w:szCs w:val="20"/>
                <w:color w:val="auto"/>
              </w:rPr>
            </w:pPr>
            <w:r>
              <w:rPr>
                <w:rFonts w:ascii="Arial" w:cs="Arial" w:eastAsia="Arial" w:hAnsi="Arial"/>
                <w:sz w:val="13"/>
                <w:szCs w:val="13"/>
                <w:color w:val="0000FF"/>
              </w:rPr>
              <w:t>5,495</w:t>
            </w:r>
          </w:p>
        </w:tc>
        <w:tc>
          <w:tcPr>
            <w:tcW w:w="8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05/25/2011</w:t>
            </w:r>
          </w:p>
        </w:tc>
        <w:tc>
          <w:tcPr>
            <w:tcW w:w="720" w:type="dxa"/>
            <w:vAlign w:val="bottom"/>
            <w:vMerge w:val="restart"/>
          </w:tcPr>
          <w:p>
            <w:pPr>
              <w:ind w:left="40"/>
              <w:spacing w:after="0" w:line="148" w:lineRule="exact"/>
              <w:rPr>
                <w:sz w:val="20"/>
                <w:szCs w:val="20"/>
                <w:color w:val="auto"/>
              </w:rPr>
            </w:pPr>
            <w:r>
              <w:rPr>
                <w:rFonts w:ascii="Arial" w:cs="Arial" w:eastAsia="Arial" w:hAnsi="Arial"/>
                <w:sz w:val="13"/>
                <w:szCs w:val="13"/>
                <w:color w:val="0000FF"/>
              </w:rPr>
              <w:t>05/25/2015</w:t>
            </w: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Appreciation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52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4,373 shares previously held indirectly by the Reporting Person in the Myles Klein Revocable Living Trust, of which the Reporting Person is the trustee which were contributed to the Reporting Person.</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shown is the fair market price for the issuer's common stock at the time of conversion of the stock-settled stock appreciation right(s).</w:t>
      </w:r>
    </w:p>
    <w:p>
      <w:pPr>
        <w:spacing w:after="0" w:line="50" w:lineRule="exact"/>
        <w:rPr>
          <w:rFonts w:ascii="Arial" w:cs="Arial" w:eastAsia="Arial" w:hAnsi="Arial"/>
          <w:sz w:val="13"/>
          <w:szCs w:val="13"/>
          <w:color w:val="008000"/>
        </w:rPr>
      </w:pPr>
    </w:p>
    <w:p>
      <w:pPr>
        <w:ind w:left="40" w:right="3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pre-arranged, non-discretionary trading plan adopted by the reporting person in accordance with Rule 10b5-1 of the Securities Exchange Act of 1934.</w:t>
      </w:r>
    </w:p>
    <w:p>
      <w:pPr>
        <w:spacing w:after="0" w:line="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Myles Klein</w:t>
            </w:r>
          </w:p>
        </w:tc>
        <w:tc>
          <w:tcPr>
            <w:tcW w:w="120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04/10/2015</w:t>
            </w:r>
          </w:p>
        </w:tc>
      </w:tr>
      <w:tr>
        <w:trPr>
          <w:trHeight w:val="234"/>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498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2019-12-23T22:38:48Z</dcterms:created>
  <dcterms:modified xsi:type="dcterms:W3CDTF">2019-12-23T22:38:48Z</dcterms:modified>
</cp:coreProperties>
</file>