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World Fuel Services Corp.</w:t>
      </w:r>
    </w:p>
    <w:p>
      <w:pPr>
        <w:spacing w:after="0" w:line="201"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981475106</w:t>
      </w:r>
    </w:p>
    <w:p>
      <w:pPr>
        <w:spacing w:after="0" w:line="201" w:lineRule="exact"/>
        <w:rPr>
          <w:sz w:val="24"/>
          <w:szCs w:val="24"/>
          <w:color w:val="auto"/>
        </w:rPr>
      </w:pPr>
    </w:p>
    <w:p>
      <w:pPr>
        <w:jc w:val="center"/>
        <w:ind w:right="39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jc w:val="center"/>
        <w:ind w:right="3999"/>
        <w:spacing w:after="0"/>
        <w:rPr>
          <w:sz w:val="20"/>
          <w:szCs w:val="20"/>
          <w:color w:val="auto"/>
        </w:rPr>
      </w:pPr>
      <w:r>
        <w:rPr>
          <w:rFonts w:ascii="Courier New" w:cs="Courier New" w:eastAsia="Courier New" w:hAnsi="Courier New"/>
          <w:sz w:val="18"/>
          <w:szCs w:val="18"/>
          <w:color w:val="auto"/>
        </w:rPr>
        <w:t>December 31, 2014</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13d-l(b)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13d-l(c)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13d-l(d)</w:t>
      </w:r>
    </w:p>
    <w:p>
      <w:pPr>
        <w:spacing w:after="0" w:line="200" w:lineRule="exact"/>
        <w:rPr>
          <w:sz w:val="24"/>
          <w:szCs w:val="24"/>
          <w:color w:val="auto"/>
        </w:rPr>
      </w:pPr>
    </w:p>
    <w:p>
      <w:pPr>
        <w:spacing w:after="0" w:line="210" w:lineRule="exact"/>
        <w:rPr>
          <w:sz w:val="24"/>
          <w:szCs w:val="24"/>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Number: 981475106</w:t>
      </w:r>
    </w:p>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619" w:hanging="531"/>
        <w:spacing w:after="0" w:line="235"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Ruane, Cunniff &amp; Goldfarb Inc.</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13-2628641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280" w:hanging="324"/>
        <w:spacing w:after="0" w:line="238" w:lineRule="auto"/>
        <w:tabs>
          <w:tab w:leader="none" w:pos="12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324"/>
        <w:spacing w:after="0" w:line="238" w:lineRule="auto"/>
        <w:tabs>
          <w:tab w:leader="none" w:pos="128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9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8" w:lineRule="exact"/>
        <w:rPr>
          <w:sz w:val="20"/>
          <w:szCs w:val="20"/>
          <w:color w:val="auto"/>
        </w:rPr>
      </w:pPr>
    </w:p>
    <w:p>
      <w:pPr>
        <w:ind w:left="1060" w:right="7899" w:hanging="1052"/>
        <w:spacing w:after="0" w:line="290" w:lineRule="auto"/>
        <w:tabs>
          <w:tab w:leader="none" w:pos="4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4,099,001</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1060" w:right="7359" w:hanging="1052"/>
        <w:spacing w:after="0" w:line="235" w:lineRule="auto"/>
        <w:tabs>
          <w:tab w:leader="none" w:pos="42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4,099,001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right="419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4,099,001</w:t>
      </w:r>
    </w:p>
    <w:p>
      <w:pPr>
        <w:spacing w:after="0" w:line="207" w:lineRule="exact"/>
        <w:rPr>
          <w:rFonts w:ascii="Courier New" w:cs="Courier New" w:eastAsia="Courier New" w:hAnsi="Courier New"/>
          <w:sz w:val="18"/>
          <w:szCs w:val="18"/>
          <w:color w:val="auto"/>
        </w:rPr>
      </w:pPr>
    </w:p>
    <w:p>
      <w:pPr>
        <w:ind w:left="420" w:right="419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5.69%</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202" w:lineRule="exact"/>
        <w:rPr>
          <w:sz w:val="20"/>
          <w:szCs w:val="20"/>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9800 N. W. 41st Street, Suite 400, Miami, Florida 33178</w:t>
      </w:r>
    </w:p>
    <w:p>
      <w:pPr>
        <w:spacing w:after="0" w:line="2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 - (c).</w:t>
      </w:r>
      <w:r>
        <w:rPr>
          <w:sz w:val="20"/>
          <w:szCs w:val="20"/>
          <w:color w:val="auto"/>
        </w:rPr>
        <w:tab/>
      </w:r>
      <w:r>
        <w:rPr>
          <w:rFonts w:ascii="Courier New" w:cs="Courier New" w:eastAsia="Courier New" w:hAnsi="Courier New"/>
          <w:sz w:val="16"/>
          <w:szCs w:val="16"/>
          <w:color w:val="auto"/>
        </w:rPr>
        <w:t>Name, Principal Business Address, and</w:t>
      </w:r>
    </w:p>
    <w:p>
      <w:pPr>
        <w:spacing w:after="0" w:line="238" w:lineRule="auto"/>
        <w:rPr>
          <w:sz w:val="20"/>
          <w:szCs w:val="20"/>
          <w:color w:val="auto"/>
        </w:rPr>
      </w:pPr>
      <w:r>
        <w:rPr>
          <w:rFonts w:ascii="Courier New" w:cs="Courier New" w:eastAsia="Courier New" w:hAnsi="Courier New"/>
          <w:sz w:val="18"/>
          <w:szCs w:val="18"/>
          <w:color w:val="auto"/>
        </w:rPr>
        <w:t>Citizenship of Persons Filing: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Ruane, Cunniff &amp; Goldfarb Inc.</w:t>
      </w:r>
    </w:p>
    <w:p>
      <w:pPr>
        <w:ind w:left="960"/>
        <w:spacing w:after="0" w:line="238" w:lineRule="auto"/>
        <w:rPr>
          <w:sz w:val="20"/>
          <w:szCs w:val="20"/>
          <w:color w:val="auto"/>
        </w:rPr>
      </w:pPr>
      <w:r>
        <w:rPr>
          <w:rFonts w:ascii="Courier New" w:cs="Courier New" w:eastAsia="Courier New" w:hAnsi="Courier New"/>
          <w:sz w:val="18"/>
          <w:szCs w:val="18"/>
          <w:color w:val="auto"/>
        </w:rPr>
        <w:t>9W 57th Street, Ste 5000, New York, NY 10019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Corp. organized under the laws of the State of</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981475106</w:t>
      </w:r>
    </w:p>
    <w:p>
      <w:pPr>
        <w:spacing w:after="0" w:line="207"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13d-1(b)(1).</w:t>
      </w:r>
    </w:p>
    <w:p>
      <w:pPr>
        <w:spacing w:after="0" w:line="208" w:lineRule="exact"/>
        <w:rPr>
          <w:sz w:val="20"/>
          <w:szCs w:val="20"/>
          <w:color w:val="auto"/>
        </w:rPr>
      </w:pPr>
    </w:p>
    <w:p>
      <w:pPr>
        <w:ind w:left="960" w:right="3899" w:hanging="531"/>
        <w:spacing w:after="0" w:line="235" w:lineRule="auto"/>
        <w:tabs>
          <w:tab w:leader="none" w:pos="6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/x/</w:t>
            </w:r>
          </w:p>
        </w:tc>
        <w:tc>
          <w:tcPr>
            <w:tcW w:w="4360" w:type="dxa"/>
            <w:vAlign w:val="bottom"/>
          </w:tcPr>
          <w:p>
            <w:pPr>
              <w:ind w:left="160"/>
              <w:spacing w:after="0"/>
              <w:rPr>
                <w:sz w:val="20"/>
                <w:szCs w:val="20"/>
                <w:color w:val="auto"/>
              </w:rPr>
            </w:pPr>
            <w:r>
              <w:rPr>
                <w:rFonts w:ascii="Courier New" w:cs="Courier New" w:eastAsia="Courier New" w:hAnsi="Courier New"/>
                <w:sz w:val="18"/>
                <w:szCs w:val="18"/>
                <w:color w:val="auto"/>
              </w:rPr>
              <w:t>Investment Adviser in accordance with</w:t>
            </w:r>
          </w:p>
        </w:tc>
        <w:tc>
          <w:tcPr>
            <w:tcW w:w="12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 240.13d-1(b)(1)(ii)(E).</w:t>
            </w:r>
          </w:p>
        </w:tc>
        <w:tc>
          <w:tcPr>
            <w:tcW w:w="128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Item 4.</w:t>
            </w:r>
          </w:p>
        </w:tc>
        <w:tc>
          <w:tcPr>
            <w:tcW w:w="4360" w:type="dxa"/>
            <w:vAlign w:val="bottom"/>
          </w:tcPr>
          <w:p>
            <w:pPr>
              <w:ind w:left="60"/>
              <w:spacing w:after="0"/>
              <w:rPr>
                <w:sz w:val="20"/>
                <w:szCs w:val="20"/>
                <w:color w:val="auto"/>
              </w:rPr>
            </w:pPr>
            <w:r>
              <w:rPr>
                <w:rFonts w:ascii="Courier New" w:cs="Courier New" w:eastAsia="Courier New" w:hAnsi="Courier New"/>
                <w:sz w:val="18"/>
                <w:szCs w:val="18"/>
                <w:color w:val="auto"/>
              </w:rPr>
              <w:t>Ownership.</w:t>
            </w:r>
          </w:p>
        </w:tc>
        <w:tc>
          <w:tcPr>
            <w:tcW w:w="128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4,099,001</w:t>
            </w:r>
          </w:p>
        </w:tc>
      </w:tr>
      <w:tr>
        <w:trPr>
          <w:trHeight w:val="203"/>
        </w:trPr>
        <w:tc>
          <w:tcPr>
            <w:tcW w:w="800" w:type="dxa"/>
            <w:vAlign w:val="bottom"/>
          </w:tcPr>
          <w:p>
            <w:pPr>
              <w:spacing w:after="0"/>
              <w:rPr>
                <w:sz w:val="17"/>
                <w:szCs w:val="17"/>
                <w:color w:val="auto"/>
              </w:rPr>
            </w:pPr>
          </w:p>
        </w:tc>
        <w:tc>
          <w:tcPr>
            <w:tcW w:w="4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5.69%</w:t>
            </w:r>
          </w:p>
        </w:tc>
      </w:tr>
    </w:tbl>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4" w:lineRule="exact"/>
        <w:rPr>
          <w:rFonts w:ascii="Courier New" w:cs="Courier New" w:eastAsia="Courier New" w:hAnsi="Courier New"/>
          <w:sz w:val="18"/>
          <w:szCs w:val="18"/>
          <w:color w:val="auto"/>
        </w:rPr>
      </w:pPr>
    </w:p>
    <w:p>
      <w:pPr>
        <w:ind w:left="5480" w:right="3779" w:hanging="3997"/>
        <w:spacing w:after="0" w:line="268" w:lineRule="auto"/>
        <w:tabs>
          <w:tab w:leader="none" w:pos="189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4,099,001</w:t>
      </w:r>
    </w:p>
    <w:p>
      <w:pPr>
        <w:ind w:left="2000" w:hanging="517"/>
        <w:spacing w:after="0" w:line="238" w:lineRule="auto"/>
        <w:tabs>
          <w:tab w:leader="none" w:pos="200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5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2120" w:hanging="637"/>
        <w:spacing w:after="0" w:line="238" w:lineRule="auto"/>
        <w:tabs>
          <w:tab w:leader="none" w:pos="2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with sole power to dispose or to</w:t>
      </w:r>
    </w:p>
    <w:p>
      <w:pPr>
        <w:ind w:left="1480"/>
        <w:spacing w:after="0"/>
        <w:tabs>
          <w:tab w:leader="none" w:pos="5460" w:val="left"/>
        </w:tabs>
        <w:rPr>
          <w:sz w:val="20"/>
          <w:szCs w:val="20"/>
          <w:color w:val="auto"/>
        </w:rPr>
      </w:pPr>
      <w:r>
        <w:rPr>
          <w:rFonts w:ascii="Courier New" w:cs="Courier New" w:eastAsia="Courier New" w:hAnsi="Courier New"/>
          <w:sz w:val="18"/>
          <w:szCs w:val="18"/>
          <w:color w:val="auto"/>
        </w:rPr>
        <w:t>direct the disposition of:</w:t>
      </w:r>
      <w:r>
        <w:rPr>
          <w:sz w:val="20"/>
          <w:szCs w:val="20"/>
          <w:color w:val="auto"/>
        </w:rPr>
        <w:tab/>
      </w:r>
      <w:r>
        <w:rPr>
          <w:rFonts w:ascii="Courier New" w:cs="Courier New" w:eastAsia="Courier New" w:hAnsi="Courier New"/>
          <w:sz w:val="16"/>
          <w:szCs w:val="16"/>
          <w:color w:val="auto"/>
        </w:rPr>
        <w:t>4,099,001</w:t>
      </w:r>
    </w:p>
    <w:p>
      <w:pPr>
        <w:ind w:left="1480"/>
        <w:spacing w:after="0" w:line="237" w:lineRule="auto"/>
        <w:rPr>
          <w:sz w:val="20"/>
          <w:szCs w:val="20"/>
          <w:color w:val="auto"/>
        </w:rPr>
      </w:pPr>
      <w:r>
        <w:rPr>
          <w:rFonts w:ascii="Courier New" w:cs="Courier New" w:eastAsia="Courier New" w:hAnsi="Courier New"/>
          <w:sz w:val="18"/>
          <w:szCs w:val="18"/>
          <w:color w:val="auto"/>
        </w:rPr>
        <w:t>(iv) shares with shared power to dispose or</w:t>
      </w:r>
    </w:p>
    <w:p>
      <w:pPr>
        <w:ind w:left="1480"/>
        <w:spacing w:after="0"/>
        <w:tabs>
          <w:tab w:leader="none" w:pos="5360" w:val="left"/>
        </w:tabs>
        <w:rPr>
          <w:sz w:val="20"/>
          <w:szCs w:val="20"/>
          <w:color w:val="auto"/>
        </w:rPr>
      </w:pPr>
      <w:r>
        <w:rPr>
          <w:rFonts w:ascii="Courier New" w:cs="Courier New" w:eastAsia="Courier New" w:hAnsi="Courier New"/>
          <w:sz w:val="18"/>
          <w:szCs w:val="18"/>
          <w:color w:val="auto"/>
        </w:rPr>
        <w:t>direct the disposition of:</w:t>
      </w:r>
      <w:r>
        <w:rPr>
          <w:sz w:val="20"/>
          <w:szCs w:val="20"/>
          <w:color w:val="auto"/>
        </w:rPr>
        <w:tab/>
      </w:r>
      <w:r>
        <w:rPr>
          <w:rFonts w:ascii="Courier New" w:cs="Courier New" w:eastAsia="Courier New" w:hAnsi="Courier New"/>
          <w:sz w:val="16"/>
          <w:szCs w:val="16"/>
          <w:color w:val="auto"/>
        </w:rPr>
        <w:t>NONE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3899" w:firstLine="948"/>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both"/>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jc w:val="both"/>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48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Todd Ruoff</w:t>
            </w:r>
          </w:p>
        </w:tc>
        <w:tc>
          <w:tcPr>
            <w:tcW w:w="2480" w:type="dxa"/>
            <w:vAlign w:val="bottom"/>
          </w:tcPr>
          <w:p>
            <w:pPr>
              <w:ind w:left="680"/>
              <w:spacing w:after="0"/>
              <w:rPr>
                <w:sz w:val="20"/>
                <w:szCs w:val="20"/>
                <w:color w:val="auto"/>
              </w:rPr>
            </w:pPr>
            <w:r>
              <w:rPr>
                <w:rFonts w:ascii="Courier New" w:cs="Courier New" w:eastAsia="Courier New" w:hAnsi="Courier New"/>
                <w:sz w:val="18"/>
                <w:szCs w:val="18"/>
                <w:color w:val="auto"/>
                <w:w w:val="96"/>
              </w:rPr>
              <w:t>February 17, 2015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24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6"/>
              </w:rPr>
              <w:t>_________________</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Executive Vice-President</w:t>
            </w:r>
          </w:p>
        </w:tc>
        <w:tc>
          <w:tcPr>
            <w:tcW w:w="24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Date</w:t>
            </w:r>
          </w:p>
        </w:tc>
      </w:tr>
    </w:tbl>
    <w:p>
      <w:pPr>
        <w:spacing w:after="0" w:line="1" w:lineRule="exact"/>
        <w:rPr>
          <w:sz w:val="20"/>
          <w:szCs w:val="20"/>
          <w:color w:val="auto"/>
        </w:rPr>
      </w:pP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2019-12-16T04:25:25Z</dcterms:created>
  <dcterms:modified xsi:type="dcterms:W3CDTF">2019-12-16T04:25:25Z</dcterms:modified>
</cp:coreProperties>
</file>