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#981475106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 ]</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2,545,572</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10,617,000</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10,617,000</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15.000 %</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#981475106</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10,617,000</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10,617,000</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15.000 %</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w w:val="96"/>
              </w:rPr>
              <w:t>WORLD FUEL SERVICES CORP</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9800 N.W. 41st Street</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400</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Miami, FL 33178</w:t>
            </w: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FMR LLC</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Not applicable</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981475106</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0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22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4"/>
              </w:rPr>
              <w:t>10,617,000</w:t>
            </w:r>
          </w:p>
        </w:tc>
      </w:tr>
      <w:tr>
        <w:trPr>
          <w:trHeight w:val="405"/>
        </w:trPr>
        <w:tc>
          <w:tcPr>
            <w:tcW w:w="248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84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15.000 %</w:t>
            </w:r>
          </w:p>
        </w:tc>
        <w:tc>
          <w:tcPr>
            <w:tcW w:w="220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2,545,572</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10,617,000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 CORP. No one other person's interest in the COMMON STOCK of WORLD FUEL SERVICES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12, 2016</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Form 4 filed by FMR LLC on November 25, 2015, accession number: 0000315066-15-003312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3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55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(formerly known as PYRAMIS GLOBAL ADVISORS, LLC)</w:t>
            </w: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67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(CANADA) ASSET MANAGEMENT ULC (formerly known as PYRAMIS GLOBAL</w:t>
            </w:r>
          </w:p>
        </w:tc>
      </w:tr>
      <w:tr>
        <w:trPr>
          <w:trHeight w:val="203"/>
        </w:trPr>
        <w:tc>
          <w:tcPr>
            <w:tcW w:w="86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ADVISORS (CANADA) ULC)</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w:t>
            </w: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67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(formerly known as</w:t>
            </w:r>
          </w:p>
        </w:tc>
      </w:tr>
      <w:tr>
        <w:trPr>
          <w:trHeight w:val="203"/>
        </w:trPr>
        <w:tc>
          <w:tcPr>
            <w:tcW w:w="86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PYRAMIS GLOBAL ADVISORS</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  BK</w:t>
            </w:r>
          </w:p>
        </w:tc>
        <w:tc>
          <w:tcPr>
            <w:tcW w:w="122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12, 2016, agree and consent to the joint filing on their behalf of this Schedule 13G in connection with their beneficial ownership of the COMMON STOCK of WORLD FUEL SERVICES CORP at December 31,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October 12,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90" w:lineRule="auto"/>
        <w:tabs>
          <w:tab w:leader="none" w:pos="2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Form 4 filed by FMR LLC on November 25, 2015, accession number:</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0000315066-15-003312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2019-12-16T03:38:10Z</dcterms:created>
  <dcterms:modified xsi:type="dcterms:W3CDTF">2019-12-16T03:38:10Z</dcterms:modified>
</cp:coreProperties>
</file>