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940" w:type="dxa"/>
            <w:vAlign w:val="bottom"/>
            <w:gridSpan w:val="2"/>
            <w:vMerge w:val="restart"/>
          </w:tcPr>
          <w:p>
            <w:pPr>
              <w:spacing w:after="0"/>
              <w:rPr>
                <w:rFonts w:ascii="Arial" w:cs="Arial" w:eastAsia="Arial" w:hAnsi="Arial"/>
                <w:sz w:val="22"/>
                <w:szCs w:val="22"/>
                <w:color w:val="0000EE"/>
                <w:w w:val="92"/>
              </w:rPr>
            </w:pPr>
            <w:hyperlink r:id="rId12">
              <w:r>
                <w:rPr>
                  <w:rFonts w:ascii="Arial" w:cs="Arial" w:eastAsia="Arial" w:hAnsi="Arial"/>
                  <w:sz w:val="22"/>
                  <w:szCs w:val="22"/>
                  <w:color w:val="0000EE"/>
                  <w:w w:val="92"/>
                </w:rPr>
                <w:t>PRESBY J THOMAS</w:t>
              </w:r>
            </w:hyperlink>
          </w:p>
        </w:tc>
        <w:tc>
          <w:tcPr>
            <w:tcW w:w="1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3"/>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WORLD FUEL SERVICES CORP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INT</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6"/>
        </w:trPr>
        <w:tc>
          <w:tcPr>
            <w:tcW w:w="40" w:type="dxa"/>
            <w:vAlign w:val="bottom"/>
          </w:tcPr>
          <w:p>
            <w:pPr>
              <w:spacing w:after="0"/>
              <w:rPr>
                <w:sz w:val="5"/>
                <w:szCs w:val="5"/>
                <w:color w:val="auto"/>
              </w:rPr>
            </w:pPr>
          </w:p>
        </w:tc>
        <w:tc>
          <w:tcPr>
            <w:tcW w:w="1940" w:type="dxa"/>
            <w:vAlign w:val="bottom"/>
            <w:tcBorders>
              <w:bottom w:val="single" w:sz="8" w:color="0000EE"/>
            </w:tcBorders>
            <w:gridSpan w:val="2"/>
            <w:vMerge w:val="continue"/>
          </w:tcPr>
          <w:p>
            <w:pPr>
              <w:spacing w:after="0"/>
              <w:rPr>
                <w:sz w:val="5"/>
                <w:szCs w:val="5"/>
                <w:color w:val="auto"/>
              </w:rPr>
            </w:pPr>
          </w:p>
        </w:tc>
        <w:tc>
          <w:tcPr>
            <w:tcW w:w="18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940" w:type="dxa"/>
            <w:vAlign w:val="bottom"/>
            <w:tcBorders>
              <w:top w:val="single" w:sz="8" w:color="0000EE"/>
            </w:tcBorders>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186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94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0" w:type="dxa"/>
            <w:vAlign w:val="bottom"/>
          </w:tcPr>
          <w:p>
            <w:pPr>
              <w:spacing w:after="0"/>
              <w:rPr>
                <w:sz w:val="15"/>
                <w:szCs w:val="15"/>
                <w:color w:val="auto"/>
              </w:rPr>
            </w:pPr>
          </w:p>
        </w:tc>
        <w:tc>
          <w:tcPr>
            <w:tcW w:w="820" w:type="dxa"/>
            <w:vAlign w:val="bottom"/>
            <w:tcBorders>
              <w:top w:val="single" w:sz="8" w:color="EEEEEE"/>
            </w:tcBorders>
            <w:vMerge w:val="restart"/>
          </w:tcPr>
          <w:p>
            <w:pPr>
              <w:spacing w:after="0"/>
              <w:rPr>
                <w:sz w:val="20"/>
                <w:szCs w:val="20"/>
                <w:color w:val="auto"/>
              </w:rPr>
            </w:pPr>
            <w:r>
              <w:rPr>
                <w:rFonts w:ascii="Arial" w:cs="Arial" w:eastAsia="Arial" w:hAnsi="Arial"/>
                <w:sz w:val="14"/>
                <w:szCs w:val="14"/>
                <w:color w:val="auto"/>
              </w:rPr>
              <w:t>(Last)</w:t>
            </w:r>
          </w:p>
        </w:tc>
        <w:tc>
          <w:tcPr>
            <w:tcW w:w="1120" w:type="dxa"/>
            <w:vAlign w:val="bottom"/>
            <w:tcBorders>
              <w:top w:val="single" w:sz="8" w:color="EEEEEE"/>
            </w:tcBorders>
            <w:vMerge w:val="restart"/>
          </w:tcPr>
          <w:p>
            <w:pPr>
              <w:ind w:left="460"/>
              <w:spacing w:after="0"/>
              <w:rPr>
                <w:sz w:val="20"/>
                <w:szCs w:val="20"/>
                <w:color w:val="auto"/>
              </w:rPr>
            </w:pPr>
            <w:r>
              <w:rPr>
                <w:rFonts w:ascii="Arial" w:cs="Arial" w:eastAsia="Arial" w:hAnsi="Arial"/>
                <w:sz w:val="14"/>
                <w:szCs w:val="14"/>
                <w:color w:val="auto"/>
              </w:rPr>
              <w:t>(First)</w:t>
            </w:r>
          </w:p>
        </w:tc>
        <w:tc>
          <w:tcPr>
            <w:tcW w:w="1860" w:type="dxa"/>
            <w:vAlign w:val="bottom"/>
            <w:tcBorders>
              <w:top w:val="single" w:sz="8" w:color="EEEEEE"/>
            </w:tcBorders>
            <w:vMerge w:val="restart"/>
          </w:tcPr>
          <w:p>
            <w:pPr>
              <w:ind w:left="600"/>
              <w:spacing w:after="0"/>
              <w:rPr>
                <w:sz w:val="20"/>
                <w:szCs w:val="20"/>
                <w:color w:val="auto"/>
              </w:rPr>
            </w:pPr>
            <w:r>
              <w:rPr>
                <w:rFonts w:ascii="Arial" w:cs="Arial" w:eastAsia="Arial" w:hAnsi="Arial"/>
                <w:sz w:val="14"/>
                <w:szCs w:val="14"/>
                <w:color w:val="auto"/>
              </w:rPr>
              <w:t>(Middle)</w:t>
            </w:r>
          </w:p>
        </w:tc>
        <w:tc>
          <w:tcPr>
            <w:tcW w:w="280" w:type="dxa"/>
            <w:vAlign w:val="bottom"/>
            <w:gridSpan w:val="3"/>
          </w:tcPr>
          <w:p>
            <w:pPr>
              <w:ind w:left="160"/>
              <w:spacing w:after="0"/>
              <w:rPr>
                <w:sz w:val="20"/>
                <w:szCs w:val="20"/>
                <w:color w:val="auto"/>
              </w:rPr>
            </w:pPr>
            <w:r>
              <w:rPr>
                <w:rFonts w:ascii="Arial" w:cs="Arial" w:eastAsia="Arial" w:hAnsi="Arial"/>
                <w:sz w:val="14"/>
                <w:szCs w:val="14"/>
                <w:color w:val="auto"/>
                <w:w w:val="85"/>
              </w:rPr>
              <w:t>3.</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0" w:type="dxa"/>
            <w:vAlign w:val="bottom"/>
          </w:tcPr>
          <w:p>
            <w:pPr>
              <w:spacing w:after="0"/>
              <w:rPr>
                <w:sz w:val="1"/>
                <w:szCs w:val="1"/>
                <w:color w:val="auto"/>
              </w:rPr>
            </w:pPr>
          </w:p>
        </w:tc>
      </w:tr>
      <w:tr>
        <w:trPr>
          <w:trHeight w:val="129"/>
        </w:trPr>
        <w:tc>
          <w:tcPr>
            <w:tcW w:w="4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1860" w:type="dxa"/>
            <w:vAlign w:val="bottom"/>
            <w:vMerge w:val="continue"/>
          </w:tcPr>
          <w:p>
            <w:pPr>
              <w:spacing w:after="0"/>
              <w:rPr>
                <w:sz w:val="11"/>
                <w:szCs w:val="11"/>
                <w:color w:val="auto"/>
              </w:rPr>
            </w:pPr>
          </w:p>
        </w:tc>
        <w:tc>
          <w:tcPr>
            <w:tcW w:w="3220" w:type="dxa"/>
            <w:vAlign w:val="bottom"/>
            <w:gridSpan w:val="4"/>
            <w:vMerge w:val="restart"/>
          </w:tcPr>
          <w:p>
            <w:pPr>
              <w:ind w:left="160"/>
              <w:spacing w:after="0" w:line="203" w:lineRule="exact"/>
              <w:rPr>
                <w:sz w:val="20"/>
                <w:szCs w:val="20"/>
                <w:color w:val="auto"/>
              </w:rPr>
            </w:pPr>
            <w:r>
              <w:rPr>
                <w:rFonts w:ascii="Arial" w:cs="Arial" w:eastAsia="Arial" w:hAnsi="Arial"/>
                <w:sz w:val="18"/>
                <w:szCs w:val="18"/>
                <w:color w:val="0000FF"/>
              </w:rPr>
              <w:t>05/29/2015</w:t>
            </w: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860" w:type="dxa"/>
            <w:vAlign w:val="bottom"/>
          </w:tcPr>
          <w:p>
            <w:pPr>
              <w:spacing w:after="0"/>
              <w:rPr>
                <w:sz w:val="6"/>
                <w:szCs w:val="6"/>
                <w:color w:val="auto"/>
              </w:rPr>
            </w:pPr>
          </w:p>
        </w:tc>
        <w:tc>
          <w:tcPr>
            <w:tcW w:w="3220" w:type="dxa"/>
            <w:vAlign w:val="bottom"/>
            <w:gridSpan w:val="4"/>
            <w:vMerge w:val="continue"/>
          </w:tcPr>
          <w:p>
            <w:pPr>
              <w:spacing w:after="0"/>
              <w:rPr>
                <w:sz w:val="6"/>
                <w:szCs w:val="6"/>
                <w:color w:val="auto"/>
              </w:rPr>
            </w:pPr>
          </w:p>
        </w:tc>
        <w:tc>
          <w:tcPr>
            <w:tcW w:w="84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8"/>
          <w:szCs w:val="18"/>
          <w:color w:val="0000FF"/>
        </w:rPr>
        <w:t>6 HOLTON LANE</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0"/>
          <w:szCs w:val="20"/>
          <w:color w:val="auto"/>
        </w:rPr>
      </w:pPr>
    </w:p>
    <w:p>
      <w:pPr>
        <w:sectPr>
          <w:pgSz w:w="11900" w:h="16838" w:orient="portrait"/>
          <w:cols w:equalWidth="0" w:num="2">
            <w:col w:w="7980" w:space="77"/>
            <w:col w:w="3363"/>
          </w:cols>
          <w:pgMar w:left="240" w:top="226" w:right="239" w:bottom="1440" w:gutter="0" w:footer="0" w:header="0"/>
          <w:type w:val="continuous"/>
        </w:sectPr>
      </w:pPr>
    </w:p>
    <w:p>
      <w:pPr>
        <w:spacing w:after="0" w:line="255"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8"/>
              </w:rPr>
              <w:t>ESSEX FELLS</w:t>
            </w:r>
          </w:p>
        </w:tc>
        <w:tc>
          <w:tcPr>
            <w:tcW w:w="920" w:type="dxa"/>
            <w:vAlign w:val="bottom"/>
          </w:tcPr>
          <w:p>
            <w:pPr>
              <w:ind w:left="80"/>
              <w:spacing w:after="0"/>
              <w:rPr>
                <w:sz w:val="20"/>
                <w:szCs w:val="20"/>
                <w:color w:val="auto"/>
              </w:rPr>
            </w:pPr>
            <w:r>
              <w:rPr>
                <w:rFonts w:ascii="Arial" w:cs="Arial" w:eastAsia="Arial" w:hAnsi="Arial"/>
                <w:sz w:val="18"/>
                <w:szCs w:val="18"/>
                <w:color w:val="0000FF"/>
              </w:rPr>
              <w:t>NJ</w:t>
            </w:r>
          </w:p>
        </w:tc>
        <w:tc>
          <w:tcPr>
            <w:tcW w:w="1680" w:type="dxa"/>
            <w:vAlign w:val="bottom"/>
          </w:tcPr>
          <w:p>
            <w:pPr>
              <w:ind w:left="420"/>
              <w:spacing w:after="0"/>
              <w:rPr>
                <w:sz w:val="20"/>
                <w:szCs w:val="20"/>
                <w:color w:val="auto"/>
              </w:rPr>
            </w:pPr>
            <w:r>
              <w:rPr>
                <w:rFonts w:ascii="Arial" w:cs="Arial" w:eastAsia="Arial" w:hAnsi="Arial"/>
                <w:sz w:val="18"/>
                <w:szCs w:val="18"/>
                <w:color w:val="0000FF"/>
              </w:rPr>
              <w:t>07021</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0"/>
          <w:szCs w:val="20"/>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800" w:type="dxa"/>
            <w:vAlign w:val="bottom"/>
            <w:gridSpan w:val="7"/>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w:t>
            </w:r>
          </w:p>
        </w:tc>
        <w:tc>
          <w:tcPr>
            <w:tcW w:w="11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05/29/2015</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100" w:type="dxa"/>
            <w:vAlign w:val="bottom"/>
            <w:tcBorders>
              <w:bottom w:val="single" w:sz="8" w:color="2C2C2C"/>
            </w:tcBorders>
            <w:gridSpan w:val="2"/>
          </w:tcPr>
          <w:p>
            <w:pPr>
              <w:ind w:left="240"/>
              <w:spacing w:after="0"/>
              <w:rPr>
                <w:sz w:val="20"/>
                <w:szCs w:val="20"/>
                <w:color w:val="auto"/>
              </w:rPr>
            </w:pPr>
            <w:r>
              <w:rPr>
                <w:rFonts w:ascii="Arial" w:cs="Arial" w:eastAsia="Arial" w:hAnsi="Arial"/>
                <w:sz w:val="18"/>
                <w:szCs w:val="18"/>
                <w:color w:val="0000FF"/>
              </w:rPr>
              <w:t>2,798</w:t>
            </w:r>
            <w:r>
              <w:rPr>
                <w:rFonts w:ascii="Arial" w:cs="Arial" w:eastAsia="Arial" w:hAnsi="Arial"/>
                <w:sz w:val="22"/>
                <w:szCs w:val="22"/>
                <w:color w:val="008000"/>
                <w:vertAlign w:val="superscript"/>
              </w:rPr>
              <w:t>(2)</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26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rPr>
              <w:t>30,170</w:t>
            </w:r>
            <w:r>
              <w:rPr>
                <w:rFonts w:ascii="Arial" w:cs="Arial" w:eastAsia="Arial" w:hAnsi="Arial"/>
                <w:sz w:val="22"/>
                <w:szCs w:val="22"/>
                <w:color w:val="008000"/>
                <w:vertAlign w:val="superscript"/>
              </w:rPr>
              <w:t>(3)</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These shares were issued as a restricted stock unit grant to the reporting person by the issuer under the issuer's 2006 Omnibus Plan.</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restricted stock units shall vest on the earlier of: (i) the day prior to the annual meeting of the shareholders of the issuer that next follows the grant date or (ii) the one-year anniversary of the grant date.</w:t>
      </w:r>
    </w:p>
    <w:p>
      <w:pPr>
        <w:spacing w:after="0" w:line="64" w:lineRule="exact"/>
        <w:rPr>
          <w:rFonts w:ascii="Arial" w:cs="Arial" w:eastAsia="Arial" w:hAnsi="Arial"/>
          <w:sz w:val="12"/>
          <w:szCs w:val="12"/>
          <w:color w:val="008000"/>
        </w:rPr>
      </w:pPr>
    </w:p>
    <w:p>
      <w:pPr>
        <w:ind w:left="40" w:right="5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92 stock units received by the reporting person in connection with deferred stock grants and dividends payable on such deferred stock grants under the issuer's Stock Deferral Plan for Non-Employee Directors.</w:t>
      </w:r>
    </w:p>
    <w:p>
      <w:pPr>
        <w:spacing w:after="0" w:line="37"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J. Thomas Presby</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06/02/2015</w:t>
            </w:r>
          </w:p>
        </w:tc>
      </w:tr>
      <w:tr>
        <w:trPr>
          <w:trHeight w:val="20"/>
        </w:trPr>
        <w:tc>
          <w:tcPr>
            <w:tcW w:w="14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2023" TargetMode="External"/><Relationship Id="rId13" Type="http://schemas.openxmlformats.org/officeDocument/2006/relationships/hyperlink" Target="http://www.sec.gov/cgi-bin/browse-edgar?action=getcompany&amp;CIK=00007894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2019-12-23T22:37:29Z</dcterms:created>
  <dcterms:modified xsi:type="dcterms:W3CDTF">2019-12-23T22:37:29Z</dcterms:modified>
</cp:coreProperties>
</file>