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Smith Jeffrey Paul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0"/>
        <w:spacing w:after="0" w:line="357" w:lineRule="auto"/>
        <w:rPr>
          <w:sz w:val="20"/>
          <w:szCs w:val="20"/>
          <w:color w:val="auto"/>
        </w:rPr>
      </w:pPr>
      <w:r>
        <w:rPr>
          <w:rFonts w:ascii="Arial" w:cs="Arial" w:eastAsia="Arial" w:hAnsi="Arial"/>
          <w:sz w:val="17"/>
          <w:szCs w:val="17"/>
          <w:color w:val="0000FF"/>
        </w:rPr>
        <w:t>C/O WORLD FUEL SERVICES CORPORATION 9800 N.W. 41ST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7"/>
                <w:szCs w:val="17"/>
                <w:color w:val="0000FF"/>
              </w:rPr>
              <w:t>MIAMI</w:t>
            </w:r>
          </w:p>
        </w:tc>
        <w:tc>
          <w:tcPr>
            <w:tcW w:w="1160" w:type="dxa"/>
            <w:vAlign w:val="bottom"/>
          </w:tcPr>
          <w:p>
            <w:pPr>
              <w:ind w:left="340"/>
              <w:spacing w:after="0"/>
              <w:rPr>
                <w:sz w:val="20"/>
                <w:szCs w:val="20"/>
                <w:color w:val="auto"/>
              </w:rPr>
            </w:pPr>
            <w:r>
              <w:rPr>
                <w:rFonts w:ascii="Arial" w:cs="Arial" w:eastAsia="Arial" w:hAnsi="Arial"/>
                <w:sz w:val="17"/>
                <w:szCs w:val="17"/>
                <w:color w:val="0000FF"/>
              </w:rPr>
              <w:t>FL</w:t>
            </w:r>
          </w:p>
        </w:tc>
        <w:tc>
          <w:tcPr>
            <w:tcW w:w="1600" w:type="dxa"/>
            <w:vAlign w:val="bottom"/>
          </w:tcPr>
          <w:p>
            <w:pPr>
              <w:ind w:left="400"/>
              <w:spacing w:after="0"/>
              <w:rPr>
                <w:sz w:val="20"/>
                <w:szCs w:val="20"/>
                <w:color w:val="auto"/>
              </w:rPr>
            </w:pPr>
            <w:r>
              <w:rPr>
                <w:rFonts w:ascii="Arial" w:cs="Arial" w:eastAsia="Arial" w:hAnsi="Arial"/>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WORLD FUEL SERVICES CORP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INT</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21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140" w:type="dxa"/>
            <w:vAlign w:val="bottom"/>
          </w:tcPr>
          <w:p>
            <w:pPr>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restart"/>
          </w:tcPr>
          <w:p>
            <w:pPr>
              <w:ind w:left="640"/>
              <w:spacing w:after="0"/>
              <w:rPr>
                <w:sz w:val="20"/>
                <w:szCs w:val="20"/>
                <w:color w:val="auto"/>
              </w:rPr>
            </w:pPr>
            <w:r>
              <w:rPr>
                <w:rFonts w:ascii="Arial" w:cs="Arial" w:eastAsia="Arial" w:hAnsi="Arial"/>
                <w:sz w:val="17"/>
                <w:szCs w:val="17"/>
                <w:color w:val="0000FF"/>
                <w:w w:val="90"/>
              </w:rPr>
              <w:t>EVP and COO</w:t>
            </w: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03/15/2020</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03/15/2020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center"/>
              <w:ind w:right="52"/>
              <w:spacing w:after="0"/>
              <w:rPr>
                <w:sz w:val="20"/>
                <w:szCs w:val="20"/>
                <w:color w:val="auto"/>
              </w:rPr>
            </w:pPr>
            <w:r>
              <w:rPr>
                <w:rFonts w:ascii="Arial" w:cs="Arial" w:eastAsia="Arial" w:hAnsi="Arial"/>
                <w:sz w:val="17"/>
                <w:szCs w:val="17"/>
                <w:color w:val="0000FF"/>
              </w:rPr>
              <w:t>1,901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22.67</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9"/>
              </w:rPr>
              <w:t>77,468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03/15/2020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31,766</w:t>
            </w:r>
            <w:r>
              <w:rPr>
                <w:rFonts w:ascii="Arial" w:cs="Arial" w:eastAsia="Arial" w:hAnsi="Arial"/>
                <w:sz w:val="22"/>
                <w:szCs w:val="22"/>
                <w:color w:val="008000"/>
                <w:w w:val="97"/>
                <w:vertAlign w:val="superscript"/>
              </w:rPr>
              <w:t>(3)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109,234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7,806 restricted stock units held by the reporting person vested and settled on March 15, 2020. The issuer withheld the reported shares to cover the reporting person's tax liability associated with these restricted stock units.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of the issuer's common stock on the NYSE on March 16, 2020.</w:t>
      </w:r>
    </w:p>
    <w:p>
      <w:pPr>
        <w:spacing w:after="0" w:line="50" w:lineRule="exact"/>
        <w:rPr>
          <w:rFonts w:ascii="Arial" w:cs="Arial" w:eastAsia="Arial" w:hAnsi="Arial"/>
          <w:sz w:val="13"/>
          <w:szCs w:val="13"/>
          <w:color w:val="008000"/>
        </w:rPr>
      </w:pPr>
    </w:p>
    <w:p>
      <w:pPr>
        <w:ind w:left="40" w:right="8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earned by the reporting person based on the level of performance criteria met for fiscal year 2019. These restricted stock units will vest in three equal annual installments beginning on March 15, 2021.</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Amy A. Quintana,</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03/17/2020</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0020"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2020-03-17T20:02:18Z</dcterms:created>
  <dcterms:modified xsi:type="dcterms:W3CDTF">2020-03-17T20:02:18Z</dcterms:modified>
</cp:coreProperties>
</file>