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 w:lineRule="exact"/>
        <w:rPr>
          <w:sz w:val="24"/>
          <w:szCs w:val="24"/>
          <w:color w:val="auto"/>
        </w:rPr>
      </w:pPr>
    </w:p>
    <w:p>
      <w:pPr>
        <w:ind w:left="4480"/>
        <w:spacing w:after="0"/>
        <w:rPr>
          <w:sz w:val="20"/>
          <w:szCs w:val="20"/>
          <w:color w:val="auto"/>
        </w:rPr>
      </w:pPr>
      <w:r>
        <w:rPr>
          <w:rFonts w:ascii="Arial" w:cs="Arial" w:eastAsia="Arial" w:hAnsi="Arial"/>
          <w:sz w:val="20"/>
          <w:szCs w:val="20"/>
          <w:color w:val="auto"/>
        </w:rPr>
        <w:t>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 w:lineRule="exact"/>
        <w:rPr>
          <w:sz w:val="24"/>
          <w:szCs w:val="24"/>
          <w:color w:val="auto"/>
        </w:rPr>
      </w:pPr>
    </w:p>
    <w:p>
      <w:pPr>
        <w:ind w:left="4480"/>
        <w:spacing w:after="0"/>
        <w:rPr>
          <w:sz w:val="20"/>
          <w:szCs w:val="20"/>
          <w:color w:val="auto"/>
        </w:rPr>
      </w:pPr>
      <w:r>
        <w:rPr>
          <w:rFonts w:ascii="Arial" w:cs="Arial" w:eastAsia="Arial" w:hAnsi="Arial"/>
          <w:sz w:val="20"/>
          <w:szCs w:val="20"/>
          <w:color w:val="auto"/>
        </w:rPr>
        <w:t>_________________________</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25, 2017</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WORLD FUEL SERVICES CORPORATION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468" w:right="239" w:bottom="1440" w:gutter="0" w:footer="0" w:header="0"/>
        </w:sectPr>
      </w:pPr>
    </w:p>
    <w:p>
      <w:pPr>
        <w:spacing w:after="0" w:line="369" w:lineRule="exact"/>
        <w:rPr>
          <w:sz w:val="24"/>
          <w:szCs w:val="24"/>
          <w:color w:val="auto"/>
        </w:rPr>
      </w:pPr>
    </w:p>
    <w:p>
      <w:pPr>
        <w:jc w:val="center"/>
        <w:ind w:left="220"/>
        <w:spacing w:after="0"/>
        <w:rPr>
          <w:sz w:val="20"/>
          <w:szCs w:val="20"/>
          <w:color w:val="auto"/>
        </w:rPr>
      </w:pPr>
      <w:r>
        <w:rPr>
          <w:rFonts w:ascii="Arial" w:cs="Arial" w:eastAsia="Arial" w:hAnsi="Arial"/>
          <w:sz w:val="20"/>
          <w:szCs w:val="20"/>
          <w:b w:val="1"/>
          <w:bCs w:val="1"/>
          <w:color w:val="auto"/>
        </w:rPr>
        <w:t>Florida</w:t>
      </w:r>
    </w:p>
    <w:p>
      <w:pPr>
        <w:spacing w:after="0" w:line="22" w:lineRule="exact"/>
        <w:rPr>
          <w:sz w:val="24"/>
          <w:szCs w:val="24"/>
          <w:color w:val="auto"/>
        </w:rPr>
      </w:pPr>
    </w:p>
    <w:p>
      <w:pPr>
        <w:jc w:val="center"/>
        <w:ind w:left="22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1-9533</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380"/>
        <w:spacing w:after="0"/>
        <w:rPr>
          <w:sz w:val="20"/>
          <w:szCs w:val="20"/>
          <w:color w:val="auto"/>
        </w:rPr>
      </w:pPr>
      <w:r>
        <w:rPr>
          <w:rFonts w:ascii="Arial" w:cs="Arial" w:eastAsia="Arial" w:hAnsi="Arial"/>
          <w:sz w:val="20"/>
          <w:szCs w:val="20"/>
          <w:b w:val="1"/>
          <w:bCs w:val="1"/>
          <w:color w:val="auto"/>
        </w:rPr>
        <w:t>59-2459427</w:t>
      </w:r>
    </w:p>
    <w:p>
      <w:pPr>
        <w:spacing w:after="0" w:line="22"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540" w:space="720"/>
            <w:col w:w="2200" w:space="720"/>
            <w:col w:w="3240"/>
          </w:cols>
          <w:pgMar w:left="240" w:top="468" w:right="239" w:bottom="1440" w:gutter="0" w:footer="0" w:header="0"/>
          <w:type w:val="continuous"/>
        </w:sectPr>
      </w:pPr>
    </w:p>
    <w:p>
      <w:pPr>
        <w:spacing w:after="0" w:line="84"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9800 N.W. 41</w:t>
      </w:r>
      <w:r>
        <w:rPr>
          <w:rFonts w:ascii="Arial" w:cs="Arial" w:eastAsia="Arial" w:hAnsi="Arial"/>
          <w:sz w:val="12"/>
          <w:szCs w:val="12"/>
          <w:b w:val="1"/>
          <w:bCs w:val="1"/>
          <w:color w:val="auto"/>
        </w:rPr>
        <w:t>st</w:t>
      </w:r>
      <w:r>
        <w:rPr>
          <w:rFonts w:ascii="Arial" w:cs="Arial" w:eastAsia="Arial" w:hAnsi="Arial"/>
          <w:sz w:val="20"/>
          <w:szCs w:val="20"/>
          <w:b w:val="1"/>
          <w:bCs w:val="1"/>
          <w:color w:val="auto"/>
        </w:rPr>
        <w:t xml:space="preserve"> Street</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Miami, FL</w:t>
      </w:r>
    </w:p>
    <w:p>
      <w:pPr>
        <w:jc w:val="center"/>
        <w:ind w:right="4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jc w:val="center"/>
        <w:ind w:right="1380"/>
        <w:spacing w:after="0"/>
        <w:rPr>
          <w:sz w:val="20"/>
          <w:szCs w:val="20"/>
          <w:color w:val="auto"/>
        </w:rPr>
      </w:pPr>
      <w:r>
        <w:rPr>
          <w:rFonts w:ascii="Arial" w:cs="Arial" w:eastAsia="Arial" w:hAnsi="Arial"/>
          <w:sz w:val="20"/>
          <w:szCs w:val="20"/>
          <w:b w:val="1"/>
          <w:bCs w:val="1"/>
          <w:color w:val="auto"/>
        </w:rPr>
        <w:t>33178</w:t>
      </w:r>
    </w:p>
    <w:p>
      <w:pPr>
        <w:spacing w:after="0" w:line="22" w:lineRule="exact"/>
        <w:rPr>
          <w:sz w:val="24"/>
          <w:szCs w:val="24"/>
          <w:color w:val="auto"/>
        </w:rPr>
      </w:pPr>
    </w:p>
    <w:p>
      <w:pPr>
        <w:jc w:val="center"/>
        <w:ind w:right="138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460" w:space="720"/>
            <w:col w:w="2240"/>
          </w:cols>
          <w:pgMar w:left="240" w:top="468" w:right="239" w:bottom="1440" w:gutter="0" w:footer="0" w:header="0"/>
          <w:type w:val="continuous"/>
        </w:sectPr>
      </w:pPr>
    </w:p>
    <w:p>
      <w:pPr>
        <w:spacing w:after="0" w:line="57" w:lineRule="exact"/>
        <w:rPr>
          <w:sz w:val="24"/>
          <w:szCs w:val="24"/>
          <w:color w:val="auto"/>
        </w:rPr>
      </w:pPr>
    </w:p>
    <w:p>
      <w:pPr>
        <w:ind w:left="318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(305) 428-8000</w:t>
      </w:r>
    </w:p>
    <w:p>
      <w:pPr>
        <w:spacing w:after="0" w:line="235"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3" w:lineRule="exact"/>
        <w:rPr>
          <w:sz w:val="24"/>
          <w:szCs w:val="24"/>
          <w:color w:val="auto"/>
        </w:rPr>
      </w:pPr>
    </w:p>
    <w:p>
      <w:pPr>
        <w:ind w:right="16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0" w:lineRule="exact"/>
        <w:rPr>
          <w:sz w:val="24"/>
          <w:szCs w:val="24"/>
          <w:color w:val="auto"/>
        </w:rPr>
      </w:pPr>
    </w:p>
    <w:p>
      <w:pPr>
        <w:spacing w:after="0"/>
        <w:rPr>
          <w:sz w:val="20"/>
          <w:szCs w:val="20"/>
          <w:color w:val="auto"/>
        </w:rPr>
      </w:pPr>
      <w:r>
        <w:rPr>
          <w:rFonts w:ascii="Arial" w:cs="Arial" w:eastAsia="Arial" w:hAnsi="Arial"/>
          <w:sz w:val="20"/>
          <w:szCs w:val="20"/>
          <w:color w:val="auto"/>
        </w:rPr>
        <w:t>Emerging growth company [ ]</w:t>
      </w:r>
    </w:p>
    <w:p>
      <w:pPr>
        <w:spacing w:after="0" w:line="229" w:lineRule="exact"/>
        <w:rPr>
          <w:sz w:val="24"/>
          <w:szCs w:val="24"/>
          <w:color w:val="auto"/>
        </w:rPr>
      </w:pPr>
    </w:p>
    <w:p>
      <w:pPr>
        <w:ind w:right="360"/>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235"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On May 25, 2017, World Fuel Services Corporation (the “Company”) held its annual meeting of shareholders. The matters voted upon and the results of the vote were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Proposal 1: Election of Directors</w:t>
      </w:r>
    </w:p>
    <w:p>
      <w:pPr>
        <w:spacing w:after="0" w:line="235"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shareholders elected all of the Company’s nominees for director for one-year terms expiring on the date of the annual meeting in 2018 or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20" w:type="dxa"/>
            <w:vAlign w:val="bottom"/>
          </w:tcPr>
          <w:p>
            <w:pPr>
              <w:ind w:left="40"/>
              <w:spacing w:after="0"/>
              <w:rPr>
                <w:sz w:val="20"/>
                <w:szCs w:val="20"/>
                <w:color w:val="auto"/>
              </w:rPr>
            </w:pPr>
            <w:r>
              <w:rPr>
                <w:rFonts w:ascii="Arial" w:cs="Arial" w:eastAsia="Arial" w:hAnsi="Arial"/>
                <w:sz w:val="20"/>
                <w:szCs w:val="20"/>
                <w:b w:val="1"/>
                <w:bCs w:val="1"/>
                <w:color w:val="auto"/>
              </w:rPr>
              <w:t>Nominee</w:t>
            </w:r>
          </w:p>
        </w:tc>
        <w:tc>
          <w:tcPr>
            <w:tcW w:w="2700" w:type="dxa"/>
            <w:vAlign w:val="bottom"/>
          </w:tcPr>
          <w:p>
            <w:pPr>
              <w:jc w:val="center"/>
              <w:spacing w:after="0"/>
              <w:rPr>
                <w:sz w:val="20"/>
                <w:szCs w:val="20"/>
                <w:color w:val="auto"/>
              </w:rPr>
            </w:pPr>
            <w:r>
              <w:rPr>
                <w:rFonts w:ascii="Arial" w:cs="Arial" w:eastAsia="Arial" w:hAnsi="Arial"/>
                <w:sz w:val="20"/>
                <w:szCs w:val="20"/>
                <w:b w:val="1"/>
                <w:bCs w:val="1"/>
                <w:color w:val="auto"/>
                <w:w w:val="86"/>
              </w:rPr>
              <w:t>Votes For</w:t>
            </w:r>
          </w:p>
        </w:tc>
        <w:tc>
          <w:tcPr>
            <w:tcW w:w="2900" w:type="dxa"/>
            <w:vAlign w:val="bottom"/>
          </w:tcPr>
          <w:p>
            <w:pPr>
              <w:ind w:left="880"/>
              <w:spacing w:after="0"/>
              <w:rPr>
                <w:sz w:val="20"/>
                <w:szCs w:val="20"/>
                <w:color w:val="auto"/>
              </w:rPr>
            </w:pPr>
            <w:r>
              <w:rPr>
                <w:rFonts w:ascii="Arial" w:cs="Arial" w:eastAsia="Arial" w:hAnsi="Arial"/>
                <w:sz w:val="20"/>
                <w:szCs w:val="20"/>
                <w:b w:val="1"/>
                <w:bCs w:val="1"/>
                <w:color w:val="auto"/>
              </w:rPr>
              <w:t>Votes Withheld</w:t>
            </w:r>
          </w:p>
        </w:tc>
        <w:tc>
          <w:tcPr>
            <w:tcW w:w="2900" w:type="dxa"/>
            <w:vAlign w:val="bottom"/>
          </w:tcPr>
          <w:p>
            <w:pPr>
              <w:jc w:val="center"/>
              <w:spacing w:after="0"/>
              <w:rPr>
                <w:sz w:val="20"/>
                <w:szCs w:val="20"/>
                <w:color w:val="auto"/>
              </w:rPr>
            </w:pPr>
            <w:r>
              <w:rPr>
                <w:rFonts w:ascii="Arial" w:cs="Arial" w:eastAsia="Arial" w:hAnsi="Arial"/>
                <w:sz w:val="20"/>
                <w:szCs w:val="20"/>
                <w:b w:val="1"/>
                <w:bCs w:val="1"/>
                <w:color w:val="auto"/>
                <w:w w:val="89"/>
              </w:rPr>
              <w:t>Broker Non-Votes</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Michael J. Kasbar</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55,929,405</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2,286,761</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5,506,554</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Ken Bakshi</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53,607,359</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4,608,807</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5,506,554</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Jorge L. Benitez</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57,163,144</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1,053,022</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5,506,554</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Richard A. Kassar</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42,171,540</w:t>
            </w:r>
          </w:p>
        </w:tc>
        <w:tc>
          <w:tcPr>
            <w:tcW w:w="2900" w:type="dxa"/>
            <w:vAlign w:val="bottom"/>
          </w:tcPr>
          <w:p>
            <w:pPr>
              <w:jc w:val="center"/>
              <w:ind w:left="61"/>
              <w:spacing w:after="0"/>
              <w:rPr>
                <w:sz w:val="20"/>
                <w:szCs w:val="20"/>
                <w:color w:val="auto"/>
              </w:rPr>
            </w:pPr>
            <w:r>
              <w:rPr>
                <w:rFonts w:ascii="Arial" w:cs="Arial" w:eastAsia="Arial" w:hAnsi="Arial"/>
                <w:sz w:val="20"/>
                <w:szCs w:val="20"/>
                <w:color w:val="auto"/>
                <w:w w:val="89"/>
              </w:rPr>
              <w:t>16,044,626</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5,506,554</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John L. Manley</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57,181,410</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1,034,756</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5,506,554</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J. Thomas Presby</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55,901,217</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2,314,949</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5,506,554</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Stephen K. Roddenberry</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56,916,865</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1,299,301</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5,506,554</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4"/>
        </w:trPr>
        <w:tc>
          <w:tcPr>
            <w:tcW w:w="2920" w:type="dxa"/>
            <w:vAlign w:val="bottom"/>
          </w:tcPr>
          <w:p>
            <w:pPr>
              <w:ind w:left="40"/>
              <w:spacing w:after="0"/>
              <w:rPr>
                <w:sz w:val="20"/>
                <w:szCs w:val="20"/>
                <w:color w:val="auto"/>
              </w:rPr>
            </w:pPr>
            <w:r>
              <w:rPr>
                <w:rFonts w:ascii="Arial" w:cs="Arial" w:eastAsia="Arial" w:hAnsi="Arial"/>
                <w:sz w:val="20"/>
                <w:szCs w:val="20"/>
                <w:color w:val="auto"/>
              </w:rPr>
              <w:t>Paul H. Stebbins</w:t>
            </w:r>
          </w:p>
        </w:tc>
        <w:tc>
          <w:tcPr>
            <w:tcW w:w="2700" w:type="dxa"/>
            <w:vAlign w:val="bottom"/>
          </w:tcPr>
          <w:p>
            <w:pPr>
              <w:jc w:val="center"/>
              <w:spacing w:after="0"/>
              <w:rPr>
                <w:sz w:val="20"/>
                <w:szCs w:val="20"/>
                <w:color w:val="auto"/>
              </w:rPr>
            </w:pPr>
            <w:r>
              <w:rPr>
                <w:rFonts w:ascii="Arial" w:cs="Arial" w:eastAsia="Arial" w:hAnsi="Arial"/>
                <w:sz w:val="20"/>
                <w:szCs w:val="20"/>
                <w:color w:val="auto"/>
                <w:w w:val="87"/>
              </w:rPr>
              <w:t>56,550,221</w:t>
            </w:r>
          </w:p>
        </w:tc>
        <w:tc>
          <w:tcPr>
            <w:tcW w:w="2900" w:type="dxa"/>
            <w:vAlign w:val="bottom"/>
          </w:tcPr>
          <w:p>
            <w:pPr>
              <w:jc w:val="center"/>
              <w:ind w:left="41"/>
              <w:spacing w:after="0"/>
              <w:rPr>
                <w:sz w:val="20"/>
                <w:szCs w:val="20"/>
                <w:color w:val="auto"/>
              </w:rPr>
            </w:pPr>
            <w:r>
              <w:rPr>
                <w:rFonts w:ascii="Arial" w:cs="Arial" w:eastAsia="Arial" w:hAnsi="Arial"/>
                <w:sz w:val="20"/>
                <w:szCs w:val="20"/>
                <w:color w:val="auto"/>
                <w:w w:val="89"/>
              </w:rPr>
              <w:t>1,665,945</w:t>
            </w:r>
          </w:p>
        </w:tc>
        <w:tc>
          <w:tcPr>
            <w:tcW w:w="2900" w:type="dxa"/>
            <w:vAlign w:val="bottom"/>
          </w:tcPr>
          <w:p>
            <w:pPr>
              <w:jc w:val="center"/>
              <w:spacing w:after="0"/>
              <w:rPr>
                <w:sz w:val="20"/>
                <w:szCs w:val="20"/>
                <w:color w:val="auto"/>
              </w:rPr>
            </w:pPr>
            <w:r>
              <w:rPr>
                <w:rFonts w:ascii="Arial" w:cs="Arial" w:eastAsia="Arial" w:hAnsi="Arial"/>
                <w:sz w:val="20"/>
                <w:szCs w:val="20"/>
                <w:color w:val="auto"/>
                <w:w w:val="89"/>
              </w:rPr>
              <w:t>5,506,554</w:t>
            </w:r>
          </w:p>
        </w:tc>
      </w:tr>
      <w:tr>
        <w:trPr>
          <w:trHeight w:val="23"/>
        </w:trPr>
        <w:tc>
          <w:tcPr>
            <w:tcW w:w="29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Proposal 2: Non-Binding, Advisory Vote on Executive Compensation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shareholders approved, by a non-binding, advisory vote, the compensation of the Company’s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20"/>
                <w:szCs w:val="20"/>
                <w:b w:val="1"/>
                <w:bCs w:val="1"/>
                <w:color w:val="auto"/>
                <w:w w:val="93"/>
              </w:rPr>
              <w:t>Broker</w:t>
            </w:r>
          </w:p>
        </w:tc>
      </w:tr>
      <w:tr>
        <w:trPr>
          <w:trHeight w:val="256"/>
        </w:trPr>
        <w:tc>
          <w:tcPr>
            <w:tcW w:w="27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8"/>
              </w:rPr>
              <w:t>Votes For</w:t>
            </w:r>
          </w:p>
        </w:tc>
        <w:tc>
          <w:tcPr>
            <w:tcW w:w="29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Votes Against</w:t>
            </w:r>
          </w:p>
        </w:tc>
        <w:tc>
          <w:tcPr>
            <w:tcW w:w="28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Abstentions</w:t>
            </w:r>
          </w:p>
        </w:tc>
        <w:tc>
          <w:tcPr>
            <w:tcW w:w="2840" w:type="dxa"/>
            <w:vAlign w:val="bottom"/>
          </w:tcPr>
          <w:p>
            <w:pPr>
              <w:jc w:val="center"/>
              <w:spacing w:after="0"/>
              <w:rPr>
                <w:sz w:val="20"/>
                <w:szCs w:val="20"/>
                <w:color w:val="auto"/>
              </w:rPr>
            </w:pPr>
            <w:r>
              <w:rPr>
                <w:rFonts w:ascii="Arial" w:cs="Arial" w:eastAsia="Arial" w:hAnsi="Arial"/>
                <w:sz w:val="20"/>
                <w:szCs w:val="20"/>
                <w:b w:val="1"/>
                <w:bCs w:val="1"/>
                <w:color w:val="auto"/>
                <w:w w:val="87"/>
              </w:rPr>
              <w:t>Non-Votes</w:t>
            </w:r>
          </w:p>
        </w:tc>
      </w:tr>
      <w:tr>
        <w:trPr>
          <w:trHeight w:val="23"/>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4"/>
        </w:trPr>
        <w:tc>
          <w:tcPr>
            <w:tcW w:w="2520" w:type="dxa"/>
            <w:vAlign w:val="bottom"/>
          </w:tcPr>
          <w:p>
            <w:pPr>
              <w:jc w:val="right"/>
              <w:ind w:right="721"/>
              <w:spacing w:after="0"/>
              <w:rPr>
                <w:sz w:val="20"/>
                <w:szCs w:val="20"/>
                <w:color w:val="auto"/>
              </w:rPr>
            </w:pPr>
            <w:r>
              <w:rPr>
                <w:rFonts w:ascii="Arial" w:cs="Arial" w:eastAsia="Arial" w:hAnsi="Arial"/>
                <w:sz w:val="20"/>
                <w:szCs w:val="20"/>
                <w:color w:val="auto"/>
              </w:rPr>
              <w:t>56,109,576</w:t>
            </w:r>
          </w:p>
        </w:tc>
        <w:tc>
          <w:tcPr>
            <w:tcW w:w="220" w:type="dxa"/>
            <w:vAlign w:val="bottom"/>
          </w:tcPr>
          <w:p>
            <w:pPr>
              <w:spacing w:after="0"/>
              <w:rPr>
                <w:sz w:val="22"/>
                <w:szCs w:val="22"/>
                <w:color w:val="auto"/>
              </w:rPr>
            </w:pPr>
          </w:p>
        </w:tc>
        <w:tc>
          <w:tcPr>
            <w:tcW w:w="2760" w:type="dxa"/>
            <w:vAlign w:val="bottom"/>
          </w:tcPr>
          <w:p>
            <w:pPr>
              <w:jc w:val="right"/>
              <w:ind w:right="881"/>
              <w:spacing w:after="0"/>
              <w:rPr>
                <w:sz w:val="20"/>
                <w:szCs w:val="20"/>
                <w:color w:val="auto"/>
              </w:rPr>
            </w:pPr>
            <w:r>
              <w:rPr>
                <w:rFonts w:ascii="Arial" w:cs="Arial" w:eastAsia="Arial" w:hAnsi="Arial"/>
                <w:sz w:val="20"/>
                <w:szCs w:val="20"/>
                <w:color w:val="auto"/>
              </w:rPr>
              <w:t>1,982,400</w:t>
            </w:r>
          </w:p>
        </w:tc>
        <w:tc>
          <w:tcPr>
            <w:tcW w:w="220" w:type="dxa"/>
            <w:vAlign w:val="bottom"/>
          </w:tcPr>
          <w:p>
            <w:pPr>
              <w:spacing w:after="0"/>
              <w:rPr>
                <w:sz w:val="22"/>
                <w:szCs w:val="22"/>
                <w:color w:val="auto"/>
              </w:rPr>
            </w:pPr>
          </w:p>
        </w:tc>
        <w:tc>
          <w:tcPr>
            <w:tcW w:w="2640" w:type="dxa"/>
            <w:vAlign w:val="bottom"/>
          </w:tcPr>
          <w:p>
            <w:pPr>
              <w:jc w:val="right"/>
              <w:ind w:right="901"/>
              <w:spacing w:after="0"/>
              <w:rPr>
                <w:sz w:val="20"/>
                <w:szCs w:val="20"/>
                <w:color w:val="auto"/>
              </w:rPr>
            </w:pPr>
            <w:r>
              <w:rPr>
                <w:rFonts w:ascii="Arial" w:cs="Arial" w:eastAsia="Arial" w:hAnsi="Arial"/>
                <w:sz w:val="20"/>
                <w:szCs w:val="20"/>
                <w:color w:val="auto"/>
              </w:rPr>
              <w:t>124,190</w:t>
            </w:r>
          </w:p>
        </w:tc>
        <w:tc>
          <w:tcPr>
            <w:tcW w:w="22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Arial" w:cs="Arial" w:eastAsia="Arial" w:hAnsi="Arial"/>
                <w:sz w:val="20"/>
                <w:szCs w:val="20"/>
                <w:color w:val="auto"/>
                <w:w w:val="89"/>
              </w:rPr>
              <w:t>5,506,554</w:t>
            </w:r>
          </w:p>
        </w:tc>
      </w:tr>
    </w:tbl>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Proposal 3: Non-Binding, Advisory Vote on the Frequency of Future Advisory Votes on Executive Compensation</w:t>
      </w:r>
    </w:p>
    <w:p>
      <w:pPr>
        <w:spacing w:after="0" w:line="235"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The shareholders recommended, by a non-binding, advisory vote, the frequency of future advisory votes on executive compensation of every one (1) year.</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74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Votes for 1 Year</w:t>
            </w:r>
          </w:p>
        </w:tc>
        <w:tc>
          <w:tcPr>
            <w:tcW w:w="29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Votes for 2 Years</w:t>
            </w:r>
          </w:p>
        </w:tc>
        <w:tc>
          <w:tcPr>
            <w:tcW w:w="28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Votes for 3 Years</w:t>
            </w:r>
          </w:p>
        </w:tc>
        <w:tc>
          <w:tcPr>
            <w:tcW w:w="2840" w:type="dxa"/>
            <w:vAlign w:val="bottom"/>
          </w:tcPr>
          <w:p>
            <w:pPr>
              <w:jc w:val="center"/>
              <w:ind w:left="121"/>
              <w:spacing w:after="0"/>
              <w:rPr>
                <w:sz w:val="20"/>
                <w:szCs w:val="20"/>
                <w:color w:val="auto"/>
              </w:rPr>
            </w:pPr>
            <w:r>
              <w:rPr>
                <w:rFonts w:ascii="Arial" w:cs="Arial" w:eastAsia="Arial" w:hAnsi="Arial"/>
                <w:sz w:val="20"/>
                <w:szCs w:val="20"/>
                <w:b w:val="1"/>
                <w:bCs w:val="1"/>
                <w:color w:val="auto"/>
                <w:w w:val="88"/>
              </w:rPr>
              <w:t>Abstentions</w:t>
            </w:r>
          </w:p>
        </w:tc>
      </w:tr>
      <w:tr>
        <w:trPr>
          <w:trHeight w:val="23"/>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4"/>
        </w:trPr>
        <w:tc>
          <w:tcPr>
            <w:tcW w:w="2520" w:type="dxa"/>
            <w:vAlign w:val="bottom"/>
          </w:tcPr>
          <w:p>
            <w:pPr>
              <w:jc w:val="right"/>
              <w:ind w:right="721"/>
              <w:spacing w:after="0"/>
              <w:rPr>
                <w:sz w:val="20"/>
                <w:szCs w:val="20"/>
                <w:color w:val="auto"/>
              </w:rPr>
            </w:pPr>
            <w:r>
              <w:rPr>
                <w:rFonts w:ascii="Arial" w:cs="Arial" w:eastAsia="Arial" w:hAnsi="Arial"/>
                <w:sz w:val="20"/>
                <w:szCs w:val="20"/>
                <w:color w:val="auto"/>
              </w:rPr>
              <w:t>49,928,919</w:t>
            </w:r>
          </w:p>
        </w:tc>
        <w:tc>
          <w:tcPr>
            <w:tcW w:w="220" w:type="dxa"/>
            <w:vAlign w:val="bottom"/>
          </w:tcPr>
          <w:p>
            <w:pPr>
              <w:spacing w:after="0"/>
              <w:rPr>
                <w:sz w:val="22"/>
                <w:szCs w:val="22"/>
                <w:color w:val="auto"/>
              </w:rPr>
            </w:pPr>
          </w:p>
        </w:tc>
        <w:tc>
          <w:tcPr>
            <w:tcW w:w="2760" w:type="dxa"/>
            <w:vAlign w:val="bottom"/>
          </w:tcPr>
          <w:p>
            <w:pPr>
              <w:jc w:val="right"/>
              <w:ind w:right="1001"/>
              <w:spacing w:after="0"/>
              <w:rPr>
                <w:sz w:val="20"/>
                <w:szCs w:val="20"/>
                <w:color w:val="auto"/>
              </w:rPr>
            </w:pPr>
            <w:r>
              <w:rPr>
                <w:rFonts w:ascii="Arial" w:cs="Arial" w:eastAsia="Arial" w:hAnsi="Arial"/>
                <w:sz w:val="20"/>
                <w:szCs w:val="20"/>
                <w:color w:val="auto"/>
              </w:rPr>
              <w:t>34,851</w:t>
            </w:r>
          </w:p>
        </w:tc>
        <w:tc>
          <w:tcPr>
            <w:tcW w:w="220" w:type="dxa"/>
            <w:vAlign w:val="bottom"/>
          </w:tcPr>
          <w:p>
            <w:pPr>
              <w:spacing w:after="0"/>
              <w:rPr>
                <w:sz w:val="22"/>
                <w:szCs w:val="22"/>
                <w:color w:val="auto"/>
              </w:rPr>
            </w:pPr>
          </w:p>
        </w:tc>
        <w:tc>
          <w:tcPr>
            <w:tcW w:w="2640" w:type="dxa"/>
            <w:vAlign w:val="bottom"/>
          </w:tcPr>
          <w:p>
            <w:pPr>
              <w:jc w:val="right"/>
              <w:ind w:right="821"/>
              <w:spacing w:after="0"/>
              <w:rPr>
                <w:sz w:val="20"/>
                <w:szCs w:val="20"/>
                <w:color w:val="auto"/>
              </w:rPr>
            </w:pPr>
            <w:r>
              <w:rPr>
                <w:rFonts w:ascii="Arial" w:cs="Arial" w:eastAsia="Arial" w:hAnsi="Arial"/>
                <w:sz w:val="20"/>
                <w:szCs w:val="20"/>
                <w:color w:val="auto"/>
              </w:rPr>
              <w:t>8,152,740</w:t>
            </w:r>
          </w:p>
        </w:tc>
        <w:tc>
          <w:tcPr>
            <w:tcW w:w="220" w:type="dxa"/>
            <w:vAlign w:val="bottom"/>
          </w:tcPr>
          <w:p>
            <w:pPr>
              <w:spacing w:after="0"/>
              <w:rPr>
                <w:sz w:val="22"/>
                <w:szCs w:val="22"/>
                <w:color w:val="auto"/>
              </w:rPr>
            </w:pPr>
          </w:p>
        </w:tc>
        <w:tc>
          <w:tcPr>
            <w:tcW w:w="2840" w:type="dxa"/>
            <w:vAlign w:val="bottom"/>
          </w:tcPr>
          <w:p>
            <w:pPr>
              <w:jc w:val="right"/>
              <w:ind w:right="941"/>
              <w:spacing w:after="0"/>
              <w:rPr>
                <w:sz w:val="20"/>
                <w:szCs w:val="20"/>
                <w:color w:val="auto"/>
              </w:rPr>
            </w:pPr>
            <w:r>
              <w:rPr>
                <w:rFonts w:ascii="Arial" w:cs="Arial" w:eastAsia="Arial" w:hAnsi="Arial"/>
                <w:sz w:val="20"/>
                <w:szCs w:val="20"/>
                <w:color w:val="auto"/>
              </w:rPr>
              <w:t>99,656</w:t>
            </w:r>
          </w:p>
        </w:tc>
      </w:tr>
    </w:tbl>
    <w:p>
      <w:pPr>
        <w:spacing w:after="0" w:line="23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Based upon the results of the advisory vote on the frequency of future advisory votes on executive compensation set forth above, and consistent with its recommendation, the Company’s board of directors has determined that future advisory votes on executive compensation will be submitted to shareholders on an annual basis until the next required vote on the frequency of such votes.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2" w:name="page3"/>
    <w:bookmarkEnd w:id="2"/>
    <w:p>
      <w:pPr>
        <w:ind w:left="1760"/>
        <w:spacing w:after="0"/>
        <w:rPr>
          <w:sz w:val="20"/>
          <w:szCs w:val="20"/>
          <w:color w:val="auto"/>
        </w:rPr>
      </w:pPr>
      <w:r>
        <w:rPr>
          <w:rFonts w:ascii="Arial" w:cs="Arial" w:eastAsia="Arial" w:hAnsi="Arial"/>
          <w:sz w:val="20"/>
          <w:szCs w:val="20"/>
          <w:b w:val="1"/>
          <w:bCs w:val="1"/>
          <w:u w:val="single" w:color="auto"/>
          <w:color w:val="auto"/>
        </w:rPr>
        <w:t>Proposal 4: Ratification of Appointment of Independent Registered Certified Public Accounting Firm</w:t>
      </w:r>
    </w:p>
    <w:p>
      <w:pPr>
        <w:spacing w:after="0" w:line="235"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The shareholders ratified the appointment of PricewaterhouseCoopers LLP as the Company’s independent registered certified public accounting firm for the 2017 fiscal year.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96"/>
              </w:rPr>
              <w:t>Broker</w:t>
            </w:r>
          </w:p>
        </w:tc>
      </w:tr>
      <w:tr>
        <w:trPr>
          <w:trHeight w:val="256"/>
        </w:trPr>
        <w:tc>
          <w:tcPr>
            <w:tcW w:w="29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Votes For</w:t>
            </w:r>
          </w:p>
        </w:tc>
        <w:tc>
          <w:tcPr>
            <w:tcW w:w="298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5"/>
              </w:rPr>
              <w:t>Votes Against</w:t>
            </w:r>
          </w:p>
        </w:tc>
        <w:tc>
          <w:tcPr>
            <w:tcW w:w="28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6"/>
              </w:rPr>
              <w:t>Abstentions</w:t>
            </w:r>
          </w:p>
        </w:tc>
        <w:tc>
          <w:tcPr>
            <w:tcW w:w="2620" w:type="dxa"/>
            <w:vAlign w:val="bottom"/>
          </w:tcPr>
          <w:p>
            <w:pPr>
              <w:jc w:val="center"/>
              <w:spacing w:after="0"/>
              <w:rPr>
                <w:sz w:val="20"/>
                <w:szCs w:val="20"/>
                <w:color w:val="auto"/>
              </w:rPr>
            </w:pPr>
            <w:r>
              <w:rPr>
                <w:rFonts w:ascii="Arial" w:cs="Arial" w:eastAsia="Arial" w:hAnsi="Arial"/>
                <w:sz w:val="20"/>
                <w:szCs w:val="20"/>
                <w:b w:val="1"/>
                <w:bCs w:val="1"/>
                <w:color w:val="auto"/>
                <w:w w:val="85"/>
              </w:rPr>
              <w:t>Non-Votes</w:t>
            </w:r>
          </w:p>
        </w:tc>
      </w:tr>
      <w:tr>
        <w:trPr>
          <w:trHeight w:val="23"/>
        </w:trPr>
        <w:tc>
          <w:tcPr>
            <w:tcW w:w="2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54"/>
        </w:trPr>
        <w:tc>
          <w:tcPr>
            <w:tcW w:w="2740" w:type="dxa"/>
            <w:vAlign w:val="bottom"/>
          </w:tcPr>
          <w:p>
            <w:pPr>
              <w:jc w:val="right"/>
              <w:ind w:right="821"/>
              <w:spacing w:after="0"/>
              <w:rPr>
                <w:sz w:val="20"/>
                <w:szCs w:val="20"/>
                <w:color w:val="auto"/>
              </w:rPr>
            </w:pPr>
            <w:r>
              <w:rPr>
                <w:rFonts w:ascii="Arial" w:cs="Arial" w:eastAsia="Arial" w:hAnsi="Arial"/>
                <w:sz w:val="20"/>
                <w:szCs w:val="20"/>
                <w:color w:val="auto"/>
              </w:rPr>
              <w:t>63,180,140</w:t>
            </w:r>
          </w:p>
        </w:tc>
        <w:tc>
          <w:tcPr>
            <w:tcW w:w="240" w:type="dxa"/>
            <w:vAlign w:val="bottom"/>
          </w:tcPr>
          <w:p>
            <w:pPr>
              <w:spacing w:after="0"/>
              <w:rPr>
                <w:sz w:val="22"/>
                <w:szCs w:val="22"/>
                <w:color w:val="auto"/>
              </w:rPr>
            </w:pPr>
          </w:p>
        </w:tc>
        <w:tc>
          <w:tcPr>
            <w:tcW w:w="2740" w:type="dxa"/>
            <w:vAlign w:val="bottom"/>
          </w:tcPr>
          <w:p>
            <w:pPr>
              <w:jc w:val="right"/>
              <w:ind w:right="941"/>
              <w:spacing w:after="0"/>
              <w:rPr>
                <w:sz w:val="20"/>
                <w:szCs w:val="20"/>
                <w:color w:val="auto"/>
              </w:rPr>
            </w:pPr>
            <w:r>
              <w:rPr>
                <w:rFonts w:ascii="Arial" w:cs="Arial" w:eastAsia="Arial" w:hAnsi="Arial"/>
                <w:sz w:val="20"/>
                <w:szCs w:val="20"/>
                <w:color w:val="auto"/>
              </w:rPr>
              <w:t>500,974</w:t>
            </w:r>
          </w:p>
        </w:tc>
        <w:tc>
          <w:tcPr>
            <w:tcW w:w="240" w:type="dxa"/>
            <w:vAlign w:val="bottom"/>
          </w:tcPr>
          <w:p>
            <w:pPr>
              <w:spacing w:after="0"/>
              <w:rPr>
                <w:sz w:val="22"/>
                <w:szCs w:val="22"/>
                <w:color w:val="auto"/>
              </w:rPr>
            </w:pPr>
          </w:p>
        </w:tc>
        <w:tc>
          <w:tcPr>
            <w:tcW w:w="2620" w:type="dxa"/>
            <w:vAlign w:val="bottom"/>
          </w:tcPr>
          <w:p>
            <w:pPr>
              <w:jc w:val="right"/>
              <w:ind w:right="941"/>
              <w:spacing w:after="0"/>
              <w:rPr>
                <w:sz w:val="20"/>
                <w:szCs w:val="20"/>
                <w:color w:val="auto"/>
              </w:rPr>
            </w:pPr>
            <w:r>
              <w:rPr>
                <w:rFonts w:ascii="Arial" w:cs="Arial" w:eastAsia="Arial" w:hAnsi="Arial"/>
                <w:sz w:val="20"/>
                <w:szCs w:val="20"/>
                <w:color w:val="auto"/>
              </w:rPr>
              <w:t>41,606</w:t>
            </w:r>
          </w:p>
        </w:tc>
        <w:tc>
          <w:tcPr>
            <w:tcW w:w="22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20"/>
                <w:szCs w:val="20"/>
                <w:color w:val="auto"/>
                <w:w w:val="89"/>
              </w:rPr>
              <w:t>-</w:t>
            </w: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Company announced today that its board of directors has declared a quarterly cash dividend of $0.06 per share payable on July 7, 2017 to shareholders of record on June 9, 2017. A copy of the press release is attached hereto as Exhibit 99.1.</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78"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229" w:lineRule="exact"/>
        <w:rPr>
          <w:sz w:val="20"/>
          <w:szCs w:val="20"/>
          <w:color w:val="auto"/>
        </w:rPr>
      </w:pPr>
    </w:p>
    <w:p>
      <w:pPr>
        <w:ind w:left="2600"/>
        <w:spacing w:after="0"/>
        <w:tabs>
          <w:tab w:leader="none" w:pos="370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8"/>
          <w:szCs w:val="18"/>
          <w:u w:val="single" w:color="auto"/>
          <w:color w:val="auto"/>
        </w:rPr>
        <w:t>Description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99.1Press Release, dated May 25, 2017.</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760" w:val="left"/>
        </w:tabs>
        <w:rPr>
          <w:sz w:val="20"/>
          <w:szCs w:val="20"/>
          <w:color w:val="auto"/>
        </w:rPr>
      </w:pPr>
      <w:r>
        <w:rPr>
          <w:rFonts w:ascii="Arial" w:cs="Arial" w:eastAsia="Arial" w:hAnsi="Arial"/>
          <w:sz w:val="20"/>
          <w:szCs w:val="20"/>
          <w:color w:val="auto"/>
        </w:rPr>
        <w:t>Date: May 25, 2017</w:t>
      </w:r>
      <w:r>
        <w:rPr>
          <w:sz w:val="20"/>
          <w:szCs w:val="20"/>
          <w:color w:val="auto"/>
        </w:rPr>
        <w:tab/>
      </w:r>
      <w:r>
        <w:rPr>
          <w:rFonts w:ascii="Arial" w:cs="Arial" w:eastAsia="Arial" w:hAnsi="Arial"/>
          <w:sz w:val="18"/>
          <w:szCs w:val="18"/>
          <w:b w:val="1"/>
          <w:bCs w:val="1"/>
          <w:color w:val="auto"/>
        </w:rPr>
        <w:t>World Fuel Services Corporation</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856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R. Alexander Lake</w:t>
      </w:r>
    </w:p>
    <w:p>
      <w:pPr>
        <w:ind w:left="3900"/>
        <w:spacing w:after="0"/>
        <w:rPr>
          <w:sz w:val="20"/>
          <w:szCs w:val="20"/>
          <w:color w:val="auto"/>
        </w:rPr>
      </w:pPr>
      <w:r>
        <w:rPr>
          <w:rFonts w:ascii="Arial" w:cs="Arial" w:eastAsia="Arial" w:hAnsi="Arial"/>
          <w:sz w:val="20"/>
          <w:szCs w:val="20"/>
          <w:color w:val="auto"/>
        </w:rPr>
        <w:t>Executive Vice President, Chief Legal Officer and</w:t>
      </w:r>
    </w:p>
    <w:p>
      <w:pPr>
        <w:ind w:left="390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4" w:name="page5"/>
    <w:bookmarkEnd w:id="4"/>
    <w:p>
      <w:pPr>
        <w:jc w:val="right"/>
        <w:ind w:right="3779"/>
        <w:spacing w:after="0"/>
        <w:rPr>
          <w:sz w:val="20"/>
          <w:szCs w:val="20"/>
          <w:color w:val="auto"/>
        </w:rPr>
      </w:pPr>
      <w:r>
        <w:rPr>
          <w:rFonts w:ascii="Arial" w:cs="Arial" w:eastAsia="Arial" w:hAnsi="Arial"/>
          <w:sz w:val="20"/>
          <w:szCs w:val="20"/>
          <w:color w:val="auto"/>
        </w:rPr>
        <w:t>EXHIBIT INDEX</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Exhibit</w:t>
            </w:r>
          </w:p>
        </w:tc>
        <w:tc>
          <w:tcPr>
            <w:tcW w:w="200" w:type="dxa"/>
            <w:vAlign w:val="bottom"/>
          </w:tcPr>
          <w:p>
            <w:pPr>
              <w:spacing w:after="0"/>
              <w:rPr>
                <w:sz w:val="19"/>
                <w:szCs w:val="19"/>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Description</w:t>
            </w:r>
          </w:p>
        </w:tc>
        <w:tc>
          <w:tcPr>
            <w:tcW w:w="740" w:type="dxa"/>
            <w:vAlign w:val="bottom"/>
          </w:tcPr>
          <w:p>
            <w:pPr>
              <w:spacing w:after="0"/>
              <w:rPr>
                <w:sz w:val="19"/>
                <w:szCs w:val="19"/>
                <w:color w:val="auto"/>
              </w:rPr>
            </w:pPr>
          </w:p>
        </w:tc>
      </w:tr>
      <w:tr>
        <w:trPr>
          <w:trHeight w:val="254"/>
        </w:trPr>
        <w:tc>
          <w:tcPr>
            <w:tcW w:w="9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2"/>
                <w:szCs w:val="22"/>
                <w:color w:val="auto"/>
              </w:rPr>
            </w:pPr>
          </w:p>
        </w:tc>
        <w:tc>
          <w:tcPr>
            <w:tcW w:w="3260" w:type="dxa"/>
            <w:vAlign w:val="bottom"/>
            <w:gridSpan w:val="2"/>
          </w:tcPr>
          <w:p>
            <w:pPr>
              <w:ind w:left="440"/>
              <w:spacing w:after="0"/>
              <w:rPr>
                <w:sz w:val="20"/>
                <w:szCs w:val="20"/>
                <w:color w:val="auto"/>
              </w:rPr>
            </w:pPr>
            <w:r>
              <w:rPr>
                <w:rFonts w:ascii="Arial" w:cs="Arial" w:eastAsia="Arial" w:hAnsi="Arial"/>
                <w:sz w:val="20"/>
                <w:szCs w:val="20"/>
                <w:color w:val="auto"/>
                <w:w w:val="86"/>
              </w:rPr>
              <w:t>Press Release, dated May 25, 2017.</w:t>
            </w:r>
          </w:p>
        </w:tc>
      </w:tr>
    </w:tbl>
    <w:p>
      <w:pPr>
        <w:spacing w:after="0" w:line="200" w:lineRule="exact"/>
        <w:rPr>
          <w:sz w:val="20"/>
          <w:szCs w:val="20"/>
          <w:color w:val="auto"/>
        </w:rPr>
      </w:pP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95"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168" w:lineRule="exact"/>
        <w:rPr>
          <w:sz w:val="20"/>
          <w:szCs w:val="20"/>
          <w:color w:val="auto"/>
        </w:rPr>
      </w:pPr>
    </w:p>
    <w:p>
      <w:pPr>
        <w:ind w:left="644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20"/>
          <w:szCs w:val="20"/>
          <w:color w:val="auto"/>
        </w:rPr>
        <w:t>Ira M. Birns, Executive Vice President &amp;</w:t>
      </w:r>
    </w:p>
    <w:p>
      <w:pPr>
        <w:ind w:left="644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Glenn Klevitz</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Assistant Treasurer</w:t>
      </w:r>
    </w:p>
    <w:p>
      <w:pPr>
        <w:ind w:left="644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FUEL SERVICES CORPORATION DECLARES REGULAR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QUARTERLY CASH DIVIDEND</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MIAMI, FL (May 25, 2017) World Fuel Services Corporation (NYSE:INT) announced today that its board of directors has declared a quarterly cash dividend of $0.06 per share payable on July 7, 2017 to shareholders of record on June 9, 2017.</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About World Fuel Services Corporation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call 305-428-8000 or visit www.wfscorp.com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World Fuel Services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Ira M. Birns, 305-428-8000</w:t>
      </w:r>
    </w:p>
    <w:p>
      <w:pPr>
        <w:spacing w:after="0"/>
        <w:rPr>
          <w:sz w:val="20"/>
          <w:szCs w:val="20"/>
          <w:color w:val="auto"/>
        </w:rPr>
      </w:pPr>
      <w:r>
        <w:rPr>
          <w:rFonts w:ascii="Arial" w:cs="Arial" w:eastAsia="Arial" w:hAnsi="Arial"/>
          <w:sz w:val="20"/>
          <w:szCs w:val="20"/>
          <w:color w:val="auto"/>
        </w:rPr>
        <w:t>Executive Vice President &amp; Chief Financial Officer</w:t>
      </w:r>
    </w:p>
    <w:p>
      <w:pPr>
        <w:spacing w:after="0"/>
        <w:rPr>
          <w:sz w:val="20"/>
          <w:szCs w:val="20"/>
          <w:color w:val="auto"/>
        </w:rPr>
      </w:pPr>
      <w:r>
        <w:rPr>
          <w:rFonts w:ascii="Arial" w:cs="Arial" w:eastAsia="Arial" w:hAnsi="Arial"/>
          <w:sz w:val="20"/>
          <w:szCs w:val="20"/>
          <w:color w:val="auto"/>
        </w:rPr>
        <w:t>or</w:t>
      </w:r>
    </w:p>
    <w:p>
      <w:pPr>
        <w:spacing w:after="0"/>
        <w:rPr>
          <w:sz w:val="20"/>
          <w:szCs w:val="20"/>
          <w:color w:val="auto"/>
        </w:rPr>
      </w:pPr>
      <w:r>
        <w:rPr>
          <w:rFonts w:ascii="Arial" w:cs="Arial" w:eastAsia="Arial" w:hAnsi="Arial"/>
          <w:sz w:val="20"/>
          <w:szCs w:val="20"/>
          <w:color w:val="auto"/>
        </w:rPr>
        <w:t>Glenn Klevitz, 305-428-8000</w:t>
      </w:r>
    </w:p>
    <w:p>
      <w:pPr>
        <w:spacing w:after="0"/>
        <w:rPr>
          <w:sz w:val="20"/>
          <w:szCs w:val="20"/>
          <w:color w:val="auto"/>
        </w:rPr>
      </w:pPr>
      <w:r>
        <w:rPr>
          <w:rFonts w:ascii="Arial" w:cs="Arial" w:eastAsia="Arial" w:hAnsi="Arial"/>
          <w:sz w:val="20"/>
          <w:szCs w:val="20"/>
          <w:color w:val="auto"/>
        </w:rPr>
        <w:t>Vice President, Assistant Treasurer</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2019-12-05T12:55:23Z</dcterms:created>
  <dcterms:modified xsi:type="dcterms:W3CDTF">2019-12-05T12:55:23Z</dcterms:modified>
</cp:coreProperties>
</file>