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72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139"/>
          </w:cols>
          <w:pgMar w:left="320" w:top="685" w:right="1440" w:bottom="0" w:gutter="0" w:footer="0" w:header="0"/>
        </w:sectPr>
      </w:pPr>
    </w:p>
    <w:p>
      <w:pPr>
        <w:spacing w:after="0" w:line="244" w:lineRule="exact"/>
        <w:rPr>
          <w:sz w:val="24"/>
          <w:szCs w:val="24"/>
          <w:color w:val="auto"/>
        </w:rPr>
      </w:pPr>
    </w:p>
    <w:p>
      <w:pPr>
        <w:ind w:left="404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00" w:space="440"/>
            <w:col w:w="2399"/>
          </w:cols>
          <w:pgMar w:left="320" w:top="685" w:right="1440" w:bottom="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139"/>
          </w:cols>
          <w:pgMar w:left="320" w:top="685"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20" w:space="300"/>
            <w:col w:w="8619"/>
          </w:cols>
          <w:pgMar w:left="32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2">
            <w:col w:w="1220" w:space="300"/>
            <w:col w:w="8619"/>
          </w:cols>
          <w:pgMar w:left="320" w:top="685" w:right="1440" w:bottom="0" w:gutter="0" w:footer="0" w:header="0"/>
          <w:type w:val="continuous"/>
        </w:sectPr>
      </w:pPr>
    </w:p>
    <w:p>
      <w:pPr>
        <w:spacing w:after="0" w:line="60"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20"/>
            <w:col w:w="8619"/>
          </w:cols>
          <w:pgMar w:left="32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20" w:space="300"/>
            <w:col w:w="8619"/>
          </w:cols>
          <w:pgMar w:left="32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20" w:space="300"/>
            <w:col w:w="8619"/>
          </w:cols>
          <w:pgMar w:left="320" w:top="685" w:right="1440"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WORLD FUEL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74930</wp:posOffset>
            </wp:positionV>
            <wp:extent cx="5717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184"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362585</wp:posOffset>
            </wp:positionV>
            <wp:extent cx="57175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75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20" w:hanging="38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20" w:hanging="385"/>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60" w:right="139" w:hanging="433"/>
        <w:spacing w:after="0" w:line="268"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20" w:hanging="385"/>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20" w:right="259" w:hanging="385"/>
        <w:spacing w:after="0" w:line="259" w:lineRule="auto"/>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0"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1239520</wp:posOffset>
            </wp:positionH>
            <wp:positionV relativeFrom="paragraph">
              <wp:posOffset>-3383280</wp:posOffset>
            </wp:positionV>
            <wp:extent cx="5177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-3082925</wp:posOffset>
            </wp:positionV>
            <wp:extent cx="5177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-2646045</wp:posOffset>
            </wp:positionV>
            <wp:extent cx="5177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-2345690</wp:posOffset>
            </wp:positionV>
            <wp:extent cx="5177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-2045970</wp:posOffset>
            </wp:positionV>
            <wp:extent cx="5177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-734060</wp:posOffset>
            </wp:positionV>
            <wp:extent cx="5177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-434340</wp:posOffset>
            </wp:positionV>
            <wp:extent cx="5177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-133985</wp:posOffset>
            </wp:positionV>
            <wp:extent cx="5177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ectPr>
          <w:pgSz w:w="11900" w:h="16838" w:orient="portrait"/>
          <w:cols w:equalWidth="0" w:num="1">
            <w:col w:w="10139"/>
          </w:cols>
          <w:pgMar w:left="320" w:top="685" w:right="1440"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243205</wp:posOffset>
            </wp:positionV>
            <wp:extent cx="5177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147955</wp:posOffset>
            </wp:positionV>
            <wp:extent cx="1748790" cy="848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879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9800 Northwest 41st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Miami, Florida 33178</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MAY 22,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April 9, 2020</w:t>
      </w:r>
    </w:p>
    <w:p>
      <w:pPr>
        <w:spacing w:after="0" w:line="225" w:lineRule="exact"/>
        <w:rPr>
          <w:sz w:val="20"/>
          <w:szCs w:val="20"/>
          <w:color w:val="auto"/>
        </w:rPr>
      </w:pPr>
    </w:p>
    <w:p>
      <w:pPr>
        <w:ind w:right="280" w:firstLine="614"/>
        <w:spacing w:after="0" w:line="331" w:lineRule="auto"/>
        <w:rPr>
          <w:sz w:val="20"/>
          <w:szCs w:val="20"/>
          <w:color w:val="auto"/>
        </w:rPr>
      </w:pPr>
      <w:r>
        <w:rPr>
          <w:rFonts w:ascii="Arial" w:cs="Arial" w:eastAsia="Arial" w:hAnsi="Arial"/>
          <w:sz w:val="16"/>
          <w:szCs w:val="16"/>
          <w:color w:val="auto"/>
        </w:rPr>
        <w:t>Notice is hereby given that the Annual Meeting of Shareholders of WORLD FUEL SERVICES CORPORATION will be held on Friday, May 22, 2020, at 8:00 a.m., Eastern Time, at our offices located at 9800 Northwest 41st Street, Miami, Florida 33178* for the following purposes:</w:t>
      </w:r>
    </w:p>
    <w:p>
      <w:pPr>
        <w:spacing w:after="0" w:line="154"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as directors the eight nominees named in the attached proxy statement;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conduct a non-binding, advisory vote on executive compensation;</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certified public accounting firm for the 2020 fiscal year;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World Fuel Services Corporation 2020 Omnibus Plan;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or postponement thereof.</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These matters are more fully discussed in the accompanying proxy statement.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Shareholders of record at the close of business on March 30, 2020 are entitled to notice of and to vote at the meeting and any adjournment thereof.</w:t>
      </w:r>
    </w:p>
    <w:p>
      <w:pPr>
        <w:spacing w:after="0" w:line="242" w:lineRule="exact"/>
        <w:rPr>
          <w:sz w:val="20"/>
          <w:szCs w:val="20"/>
          <w:color w:val="auto"/>
        </w:rPr>
      </w:pPr>
    </w:p>
    <w:p>
      <w:pPr>
        <w:jc w:val="both"/>
        <w:ind w:firstLine="614"/>
        <w:spacing w:after="0" w:line="262" w:lineRule="auto"/>
        <w:rPr>
          <w:sz w:val="20"/>
          <w:szCs w:val="20"/>
          <w:color w:val="auto"/>
        </w:rPr>
      </w:pPr>
      <w:r>
        <w:rPr>
          <w:rFonts w:ascii="Arial" w:cs="Arial" w:eastAsia="Arial" w:hAnsi="Arial"/>
          <w:sz w:val="18"/>
          <w:szCs w:val="18"/>
          <w:b w:val="1"/>
          <w:bCs w:val="1"/>
          <w:color w:val="auto"/>
        </w:rPr>
        <w:t>Whether or not you expect to be present at the meeting, please vote using the Internet, by telephone or by mail, in each case by following the instructions in our proxy statement. Shareholders who execute a proxy may nevertheless attend the meeting, revoke their proxy and vote their shares in person.</w:t>
      </w:r>
    </w:p>
    <w:p>
      <w:pPr>
        <w:spacing w:after="0" w:line="192" w:lineRule="exact"/>
        <w:rPr>
          <w:sz w:val="20"/>
          <w:szCs w:val="20"/>
          <w:color w:val="auto"/>
        </w:rPr>
      </w:pPr>
    </w:p>
    <w:p>
      <w:pPr>
        <w:jc w:val="center"/>
        <w:ind w:left="448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jc w:val="center"/>
        <w:ind w:left="4480"/>
        <w:spacing w:after="0"/>
        <w:rPr>
          <w:sz w:val="20"/>
          <w:szCs w:val="20"/>
          <w:color w:val="auto"/>
        </w:rPr>
      </w:pPr>
      <w:r>
        <w:rPr>
          <w:rFonts w:ascii="Arial" w:cs="Arial" w:eastAsia="Arial" w:hAnsi="Arial"/>
          <w:sz w:val="18"/>
          <w:szCs w:val="18"/>
          <w:color w:val="auto"/>
        </w:rPr>
        <w:t>WORLD FUEL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6985</wp:posOffset>
            </wp:positionV>
            <wp:extent cx="1962785" cy="368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2785" cy="36830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left="4480"/>
        <w:spacing w:after="0"/>
        <w:rPr>
          <w:sz w:val="20"/>
          <w:szCs w:val="20"/>
          <w:color w:val="auto"/>
        </w:rPr>
      </w:pPr>
      <w:r>
        <w:rPr>
          <w:rFonts w:ascii="Arial" w:cs="Arial" w:eastAsia="Arial" w:hAnsi="Arial"/>
          <w:sz w:val="18"/>
          <w:szCs w:val="18"/>
          <w:color w:val="auto"/>
        </w:rPr>
        <w:t>R. Alexander Lake, Jr.</w:t>
      </w:r>
    </w:p>
    <w:p>
      <w:pPr>
        <w:spacing w:after="0" w:line="15" w:lineRule="exact"/>
        <w:rPr>
          <w:sz w:val="20"/>
          <w:szCs w:val="20"/>
          <w:color w:val="auto"/>
        </w:rPr>
      </w:pPr>
    </w:p>
    <w:p>
      <w:pPr>
        <w:jc w:val="center"/>
        <w:ind w:left="4480"/>
        <w:spacing w:after="0"/>
        <w:rPr>
          <w:sz w:val="20"/>
          <w:szCs w:val="20"/>
          <w:color w:val="auto"/>
        </w:rPr>
      </w:pPr>
      <w:r>
        <w:rPr>
          <w:rFonts w:ascii="Arial" w:cs="Arial" w:eastAsia="Arial" w:hAnsi="Arial"/>
          <w:sz w:val="18"/>
          <w:szCs w:val="18"/>
          <w:color w:val="auto"/>
        </w:rPr>
        <w:t>Executive Vice President, Chief Legal Officer and</w:t>
      </w:r>
    </w:p>
    <w:p>
      <w:pPr>
        <w:spacing w:after="0" w:line="9" w:lineRule="exact"/>
        <w:rPr>
          <w:sz w:val="20"/>
          <w:szCs w:val="20"/>
          <w:color w:val="auto"/>
        </w:rPr>
      </w:pPr>
    </w:p>
    <w:p>
      <w:pPr>
        <w:jc w:val="center"/>
        <w:ind w:left="4480"/>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jc w:val="both"/>
        <w:ind w:right="20" w:firstLine="611"/>
        <w:spacing w:after="0" w:line="268" w:lineRule="auto"/>
        <w:rPr>
          <w:sz w:val="20"/>
          <w:szCs w:val="20"/>
          <w:color w:val="auto"/>
        </w:rPr>
      </w:pPr>
      <w:r>
        <w:rPr>
          <w:rFonts w:ascii="Arial" w:cs="Arial" w:eastAsia="Arial" w:hAnsi="Arial"/>
          <w:sz w:val="18"/>
          <w:szCs w:val="18"/>
          <w:color w:val="auto"/>
        </w:rPr>
        <w:t>We mailed a Notice of Internet Availability of Proxy Materials containing instructions on how to access our proxy statement and annual report for the year ended December 31, 2019 on or about April 9, 2020.</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proxy statement and annual report are available online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18688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0" w:right="220" w:hanging="532"/>
        <w:spacing w:after="0" w:line="29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currently intend to hold the Annual Meeting of Shareholders in person. However, we are actively monitoring the coronavirus, or COVID-19 pandemic, and are sensitive to the public health and travel concerns that our shareholders may have, as well as protocols that federal, state and local governments may impose. If it is not possible or advisable to hold the Annual Meeting of Shareholders in person, we will announce alternative arrangements for the meeting as promptly as practicable, which may include switching to a virtual meeting format, or changing the time, date or location of the Annual Meeting of Shareholders. Any such change will be announced via press release and will be available on our website at: www.wfscorp.com in the Investor Relations section and filed as definitive additional soliciting materials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361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8E0"/>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i w:val="1"/>
          <w:iCs w:val="1"/>
          <w:color w:val="auto"/>
        </w:rPr>
        <w:t>This proxy summary highlights information contained elsewhere in this proxy statement and does not contain all information that you should review and consider. Please read the entire proxy statement with care before voting.</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48E0"/>
        </w:rPr>
        <w:t>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and Time: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Friday, May 22, 2020, at 8:00 a.m. Eastern Time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 9800 Northwest 41st Street, Miami, Florida 33178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Each share of common stock outstanding at the close of business on March 30, 2020 has one vote on each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a vote at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matter that is properly submitted</w:t>
      </w:r>
    </w:p>
    <w:p>
      <w:pPr>
        <w:spacing w:after="0" w:line="456" w:lineRule="exact"/>
        <w:rPr>
          <w:sz w:val="20"/>
          <w:szCs w:val="20"/>
          <w:color w:val="auto"/>
        </w:rPr>
      </w:pPr>
    </w:p>
    <w:p>
      <w:pPr>
        <w:sectPr>
          <w:pgSz w:w="11900" w:h="16838" w:orient="portrait"/>
          <w:cols w:equalWidth="0" w:num="3">
            <w:col w:w="1180" w:space="240"/>
            <w:col w:w="7440" w:space="40"/>
            <w:col w:w="2340"/>
          </w:cols>
          <w:pgMar w:left="320" w:top="131" w:right="339" w:bottom="1440" w:gutter="0" w:footer="0" w:header="0"/>
          <w:type w:val="continuous"/>
        </w:sectPr>
      </w:pPr>
    </w:p>
    <w:p>
      <w:pPr>
        <w:spacing w:after="0"/>
        <w:rPr>
          <w:sz w:val="20"/>
          <w:szCs w:val="20"/>
          <w:color w:val="auto"/>
        </w:rPr>
      </w:pPr>
      <w:r>
        <w:rPr>
          <w:rFonts w:ascii="Arial" w:cs="Arial" w:eastAsia="Arial" w:hAnsi="Arial"/>
          <w:sz w:val="22"/>
          <w:szCs w:val="22"/>
          <w:b w:val="1"/>
          <w:bCs w:val="1"/>
          <w:color w:val="0048E0"/>
        </w:rPr>
        <w:t>PROPOSALS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3"/>
                <w:szCs w:val="13"/>
                <w:b w:val="1"/>
                <w:bCs w:val="1"/>
                <w:color w:val="auto"/>
              </w:rPr>
              <w:t>Page Reference</w:t>
            </w:r>
          </w:p>
        </w:tc>
      </w:tr>
      <w:tr>
        <w:trPr>
          <w:trHeight w:val="161"/>
        </w:trPr>
        <w:tc>
          <w:tcPr>
            <w:tcW w:w="7280" w:type="dxa"/>
            <w:vAlign w:val="bottom"/>
          </w:tcPr>
          <w:p>
            <w:pPr>
              <w:spacing w:after="0"/>
              <w:rPr>
                <w:sz w:val="20"/>
                <w:szCs w:val="20"/>
                <w:color w:val="auto"/>
              </w:rPr>
            </w:pPr>
            <w:r>
              <w:rPr>
                <w:rFonts w:ascii="Arial" w:cs="Arial" w:eastAsia="Arial" w:hAnsi="Arial"/>
                <w:sz w:val="13"/>
                <w:szCs w:val="13"/>
                <w:b w:val="1"/>
                <w:bCs w:val="1"/>
                <w:color w:val="auto"/>
              </w:rPr>
              <w:t>PROPOSAL</w:t>
            </w:r>
          </w:p>
        </w:tc>
        <w:tc>
          <w:tcPr>
            <w:tcW w:w="2420" w:type="dxa"/>
            <w:vAlign w:val="bottom"/>
            <w:gridSpan w:val="2"/>
          </w:tcPr>
          <w:p>
            <w:pPr>
              <w:ind w:left="160"/>
              <w:spacing w:after="0"/>
              <w:rPr>
                <w:sz w:val="20"/>
                <w:szCs w:val="20"/>
                <w:color w:val="auto"/>
              </w:rPr>
            </w:pPr>
            <w:r>
              <w:rPr>
                <w:rFonts w:ascii="Arial" w:cs="Arial" w:eastAsia="Arial" w:hAnsi="Arial"/>
                <w:sz w:val="13"/>
                <w:szCs w:val="13"/>
                <w:b w:val="1"/>
                <w:bCs w:val="1"/>
                <w:color w:val="auto"/>
              </w:rPr>
              <w:t>Board Recommendation</w:t>
            </w:r>
          </w:p>
        </w:tc>
        <w:tc>
          <w:tcPr>
            <w:tcW w:w="16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3"/>
                <w:szCs w:val="13"/>
                <w:b w:val="1"/>
                <w:bCs w:val="1"/>
                <w:color w:val="auto"/>
              </w:rPr>
              <w:t>(for more details)</w:t>
            </w:r>
          </w:p>
        </w:tc>
      </w:tr>
      <w:tr>
        <w:trPr>
          <w:trHeight w:val="216"/>
        </w:trPr>
        <w:tc>
          <w:tcPr>
            <w:tcW w:w="7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Election of Directors</w:t>
            </w:r>
          </w:p>
        </w:tc>
        <w:tc>
          <w:tcPr>
            <w:tcW w:w="160" w:type="dxa"/>
            <w:vAlign w:val="bottom"/>
          </w:tcPr>
          <w:p>
            <w:pPr>
              <w:spacing w:after="0"/>
              <w:rPr>
                <w:sz w:val="18"/>
                <w:szCs w:val="18"/>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FOR each Director Nominee</w:t>
            </w:r>
          </w:p>
        </w:tc>
        <w:tc>
          <w:tcPr>
            <w:tcW w:w="1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r>
      <w:tr>
        <w:trPr>
          <w:trHeight w:val="424"/>
        </w:trPr>
        <w:tc>
          <w:tcPr>
            <w:tcW w:w="7280" w:type="dxa"/>
            <w:vAlign w:val="bottom"/>
          </w:tcPr>
          <w:p>
            <w:pPr>
              <w:spacing w:after="0"/>
              <w:rPr>
                <w:sz w:val="20"/>
                <w:szCs w:val="20"/>
                <w:color w:val="auto"/>
              </w:rPr>
            </w:pPr>
            <w:r>
              <w:rPr>
                <w:rFonts w:ascii="Arial" w:cs="Arial" w:eastAsia="Arial" w:hAnsi="Arial"/>
                <w:sz w:val="18"/>
                <w:szCs w:val="18"/>
                <w:color w:val="auto"/>
              </w:rPr>
              <w:t>Non-Binding, Advisory Vote on Executive Compensation</w:t>
            </w: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FOR</w:t>
            </w: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68</w:t>
            </w:r>
          </w:p>
        </w:tc>
      </w:tr>
      <w:tr>
        <w:trPr>
          <w:trHeight w:val="426"/>
        </w:trPr>
        <w:tc>
          <w:tcPr>
            <w:tcW w:w="7280" w:type="dxa"/>
            <w:vAlign w:val="bottom"/>
          </w:tcPr>
          <w:p>
            <w:pPr>
              <w:spacing w:after="0"/>
              <w:rPr>
                <w:sz w:val="20"/>
                <w:szCs w:val="20"/>
                <w:color w:val="auto"/>
              </w:rPr>
            </w:pPr>
            <w:r>
              <w:rPr>
                <w:rFonts w:ascii="Arial" w:cs="Arial" w:eastAsia="Arial" w:hAnsi="Arial"/>
                <w:sz w:val="18"/>
                <w:szCs w:val="18"/>
                <w:color w:val="auto"/>
                <w:w w:val="99"/>
              </w:rPr>
              <w:t>Ratification of PricewaterhouseCoopers LLP as our Independent Registered Certified Public</w:t>
            </w: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FOR</w:t>
            </w: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69</w:t>
            </w:r>
          </w:p>
        </w:tc>
      </w:tr>
      <w:tr>
        <w:trPr>
          <w:trHeight w:val="222"/>
        </w:trPr>
        <w:tc>
          <w:tcPr>
            <w:tcW w:w="7280" w:type="dxa"/>
            <w:vAlign w:val="bottom"/>
          </w:tcPr>
          <w:p>
            <w:pPr>
              <w:ind w:left="180"/>
              <w:spacing w:after="0"/>
              <w:rPr>
                <w:sz w:val="20"/>
                <w:szCs w:val="20"/>
                <w:color w:val="auto"/>
              </w:rPr>
            </w:pPr>
            <w:r>
              <w:rPr>
                <w:rFonts w:ascii="Arial" w:cs="Arial" w:eastAsia="Arial" w:hAnsi="Arial"/>
                <w:sz w:val="18"/>
                <w:szCs w:val="18"/>
                <w:color w:val="auto"/>
              </w:rPr>
              <w:t>Accounting Firm</w:t>
            </w: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2"/>
        </w:trPr>
        <w:tc>
          <w:tcPr>
            <w:tcW w:w="7280" w:type="dxa"/>
            <w:vAlign w:val="bottom"/>
          </w:tcPr>
          <w:p>
            <w:pPr>
              <w:spacing w:after="0"/>
              <w:rPr>
                <w:sz w:val="20"/>
                <w:szCs w:val="20"/>
                <w:color w:val="auto"/>
              </w:rPr>
            </w:pPr>
            <w:r>
              <w:rPr>
                <w:rFonts w:ascii="Arial" w:cs="Arial" w:eastAsia="Arial" w:hAnsi="Arial"/>
                <w:sz w:val="18"/>
                <w:szCs w:val="18"/>
                <w:color w:val="auto"/>
              </w:rPr>
              <w:t>Approval of the 2020 Omnibus Plan</w:t>
            </w: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FOR</w:t>
            </w: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73</w:t>
            </w:r>
          </w:p>
        </w:tc>
      </w:tr>
      <w:tr>
        <w:trPr>
          <w:trHeight w:val="468"/>
        </w:trPr>
        <w:tc>
          <w:tcPr>
            <w:tcW w:w="72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0048E0"/>
              </w:rPr>
              <w:t>2019 EXECUTIVE COMPENSATION HIGHLIGHTS</w:t>
            </w: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20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following summary of our executive compensation program highlights our commitment to executive compensation practices that align the interests of our executives and shareholders. For a comprehensive discussion of our executive compensation, see "Compensation Discussion and Analysis", beginning on page 36 of this proxy statement.</w:t>
      </w:r>
    </w:p>
    <w:p>
      <w:pPr>
        <w:spacing w:after="0" w:line="2" w:lineRule="exact"/>
        <w:rPr>
          <w:sz w:val="20"/>
          <w:szCs w:val="20"/>
          <w:color w:val="auto"/>
        </w:rPr>
      </w:pPr>
    </w:p>
    <w:p>
      <w:pPr>
        <w:jc w:val="right"/>
        <w:spacing w:after="0"/>
        <w:tabs>
          <w:tab w:leader="none" w:pos="2020" w:val="left"/>
          <w:tab w:leader="none" w:pos="1760" w:val="left"/>
          <w:tab w:leader="none" w:pos="2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6"/>
          <w:szCs w:val="16"/>
          <w:color w:val="auto"/>
        </w:rPr>
        <w:t>2020 Proxy Statement</w:t>
      </w:r>
      <w:r>
        <w:rPr>
          <w:sz w:val="20"/>
          <w:szCs w:val="20"/>
          <w:color w:val="auto"/>
        </w:rPr>
        <w:tab/>
      </w: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5840" w:val="left"/>
        </w:tabs>
        <w:rPr>
          <w:sz w:val="20"/>
          <w:szCs w:val="20"/>
          <w:color w:val="auto"/>
        </w:rPr>
      </w:pPr>
      <w:r>
        <w:rPr>
          <w:rFonts w:ascii="Arial" w:cs="Arial" w:eastAsia="Arial" w:hAnsi="Arial"/>
          <w:sz w:val="13"/>
          <w:szCs w:val="13"/>
          <w:b w:val="1"/>
          <w:bCs w:val="1"/>
          <w:color w:val="auto"/>
        </w:rPr>
        <w:t>What We Do</w:t>
      </w:r>
      <w:r>
        <w:rPr>
          <w:sz w:val="20"/>
          <w:szCs w:val="20"/>
          <w:color w:val="auto"/>
        </w:rPr>
        <w:tab/>
      </w:r>
      <w:r>
        <w:rPr>
          <w:rFonts w:ascii="Arial" w:cs="Arial" w:eastAsia="Arial" w:hAnsi="Arial"/>
          <w:sz w:val="12"/>
          <w:szCs w:val="12"/>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25" w:lineRule="exact"/>
        <w:rPr>
          <w:sz w:val="20"/>
          <w:szCs w:val="20"/>
          <w:color w:val="auto"/>
        </w:rPr>
      </w:pPr>
    </w:p>
    <w:p>
      <w:pPr>
        <w:ind w:right="220"/>
        <w:spacing w:after="0" w:line="284" w:lineRule="auto"/>
        <w:rPr>
          <w:sz w:val="20"/>
          <w:szCs w:val="20"/>
          <w:color w:val="auto"/>
        </w:rPr>
      </w:pPr>
      <w:r>
        <w:rPr>
          <w:sz w:val="1"/>
          <w:szCs w:val="1"/>
          <w:color w:val="auto"/>
        </w:rPr>
        <w:drawing>
          <wp:inline distT="0" distB="0" distL="0" distR="0">
            <wp:extent cx="137160" cy="1371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5"/>
          <w:szCs w:val="15"/>
          <w:color w:val="auto"/>
        </w:rPr>
        <w:t xml:space="preserve"> Executive compensation program tied to our financial and operating performance and designed to create value for our shareholders, employees,</w:t>
      </w:r>
    </w:p>
    <w:p>
      <w:pPr>
        <w:ind w:left="360"/>
        <w:spacing w:after="0"/>
        <w:rPr>
          <w:sz w:val="20"/>
          <w:szCs w:val="20"/>
          <w:color w:val="auto"/>
        </w:rPr>
      </w:pPr>
      <w:r>
        <w:rPr>
          <w:rFonts w:ascii="Arial" w:cs="Arial" w:eastAsia="Arial" w:hAnsi="Arial"/>
          <w:sz w:val="18"/>
          <w:szCs w:val="18"/>
          <w:color w:val="auto"/>
        </w:rPr>
        <w:t>customers and other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37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Use performance measures that are aligned with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37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Require minimum vesting under our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37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5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Monitor our compensation programs for risk-taking incentives</w:t>
      </w:r>
    </w:p>
    <w:p>
      <w:pPr>
        <w:spacing w:after="0" w:line="233" w:lineRule="exact"/>
        <w:rPr>
          <w:sz w:val="20"/>
          <w:szCs w:val="20"/>
          <w:color w:val="auto"/>
        </w:rPr>
      </w:pPr>
    </w:p>
    <w:p>
      <w:pPr>
        <w:ind w:right="400"/>
        <w:spacing w:after="0" w:line="269" w:lineRule="auto"/>
        <w:rPr>
          <w:sz w:val="20"/>
          <w:szCs w:val="20"/>
          <w:color w:val="auto"/>
        </w:rPr>
      </w:pPr>
      <w:r>
        <w:rPr>
          <w:sz w:val="1"/>
          <w:szCs w:val="1"/>
          <w:color w:val="auto"/>
        </w:rPr>
        <w:drawing>
          <wp:inline distT="0" distB="0" distL="0" distR="0">
            <wp:extent cx="137160" cy="1371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Maintain robust stock ownership guidelines applicable to executive officers</w:t>
      </w:r>
    </w:p>
    <w:p>
      <w:pPr>
        <w:spacing w:after="0" w:line="191" w:lineRule="exact"/>
        <w:rPr>
          <w:sz w:val="20"/>
          <w:szCs w:val="20"/>
          <w:color w:val="auto"/>
        </w:rPr>
      </w:pPr>
    </w:p>
    <w:p>
      <w:pPr>
        <w:ind w:right="160"/>
        <w:spacing w:after="0" w:line="269" w:lineRule="auto"/>
        <w:rPr>
          <w:sz w:val="20"/>
          <w:szCs w:val="20"/>
          <w:color w:val="auto"/>
        </w:rPr>
      </w:pPr>
      <w:r>
        <w:rPr>
          <w:sz w:val="1"/>
          <w:szCs w:val="1"/>
          <w:color w:val="auto"/>
        </w:rPr>
        <w:drawing>
          <wp:inline distT="0" distB="0" distL="0" distR="0">
            <wp:extent cx="137160" cy="1371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Maintain rigorous stock retention requirements applicable to executive officers</w:t>
      </w:r>
    </w:p>
    <w:p>
      <w:pPr>
        <w:spacing w:after="0" w:line="191" w:lineRule="exact"/>
        <w:rPr>
          <w:sz w:val="20"/>
          <w:szCs w:val="20"/>
          <w:color w:val="auto"/>
        </w:rPr>
      </w:pPr>
    </w:p>
    <w:p>
      <w:pPr>
        <w:ind w:right="140"/>
        <w:spacing w:after="0" w:line="269" w:lineRule="auto"/>
        <w:rPr>
          <w:sz w:val="20"/>
          <w:szCs w:val="20"/>
          <w:color w:val="auto"/>
        </w:rPr>
      </w:pPr>
      <w:r>
        <w:rPr>
          <w:sz w:val="1"/>
          <w:szCs w:val="1"/>
          <w:color w:val="auto"/>
        </w:rPr>
        <w:drawing>
          <wp:inline distT="0" distB="0" distL="0" distR="0">
            <wp:extent cx="137160" cy="1371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Prohibit hedging of shares by executive officers, directors and all other employees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048E0"/>
        </w:rPr>
        <w:t>BOARD AND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are not eligible for guaranteed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-115570</wp:posOffset>
            </wp:positionV>
            <wp:extent cx="13716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 tax gross 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-125730</wp:posOffset>
            </wp:positionV>
            <wp:extent cx="13716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-125730</wp:posOffset>
            </wp:positionV>
            <wp:extent cx="13716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single-trigger vesting of awards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-111125</wp:posOffset>
            </wp:positionV>
            <wp:extent cx="13716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 repricing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-125730</wp:posOffset>
            </wp:positionV>
            <wp:extent cx="13716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liberal share recycling under our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-125730</wp:posOffset>
            </wp:positionV>
            <wp:extent cx="13716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liberal definition of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-125730</wp:posOffset>
            </wp:positionV>
            <wp:extent cx="13716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payment of dividends on unvested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-125730</wp:posOffset>
            </wp:positionV>
            <wp:extent cx="13716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1684" w:lineRule="exact"/>
        <w:rPr>
          <w:sz w:val="20"/>
          <w:szCs w:val="20"/>
          <w:color w:val="auto"/>
        </w:rPr>
      </w:pPr>
    </w:p>
    <w:p>
      <w:pPr>
        <w:sectPr>
          <w:pgSz w:w="11900" w:h="16838" w:orient="portrait"/>
          <w:cols w:equalWidth="0" w:num="2">
            <w:col w:w="5480" w:space="720"/>
            <w:col w:w="5040"/>
          </w:cols>
          <w:pgMar w:left="320" w:top="131" w:right="339" w:bottom="1440" w:gutter="0" w:footer="0" w:header="0"/>
          <w:type w:val="continuous"/>
        </w:sectPr>
      </w:pPr>
    </w:p>
    <w:p>
      <w:pPr>
        <w:spacing w:after="0" w:line="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believe that good corporate governance is critical to support our efforts to achieve our performance goals while delivering long-term value to our shareholders, employees, customers and other stakeholders. The following table summarizes certain highlights of our corporate governance practices, policies and highlights. For a comprehensive discussion of our corporate governance policies, see "Corporate Governance", beginning on page 12 of this proxy statement.</w:t>
      </w:r>
    </w:p>
    <w:p>
      <w:pPr>
        <w:sectPr>
          <w:pgSz w:w="11900" w:h="16838" w:orient="portrait"/>
          <w:cols w:equalWidth="0" w:num="1">
            <w:col w:w="11240"/>
          </w:cols>
          <w:pgMar w:left="320" w:top="131" w:right="339" w:bottom="1440" w:gutter="0" w:footer="0" w:header="0"/>
          <w:type w:val="continuous"/>
        </w:sectPr>
      </w:pPr>
    </w:p>
    <w:p>
      <w:pPr>
        <w:spacing w:after="0" w:line="25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Director resignation policy for all directors in uncontested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3716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13716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Annual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371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Majority independent Board</w:t>
      </w:r>
    </w:p>
    <w:p>
      <w:pPr>
        <w:spacing w:after="0" w:line="233" w:lineRule="exact"/>
        <w:rPr>
          <w:sz w:val="20"/>
          <w:szCs w:val="20"/>
          <w:color w:val="auto"/>
        </w:rPr>
      </w:pPr>
    </w:p>
    <w:p>
      <w:pPr>
        <w:ind w:right="40"/>
        <w:spacing w:after="0" w:line="269" w:lineRule="auto"/>
        <w:rPr>
          <w:sz w:val="20"/>
          <w:szCs w:val="20"/>
          <w:color w:val="auto"/>
        </w:rPr>
      </w:pPr>
      <w:r>
        <w:rPr>
          <w:sz w:val="1"/>
          <w:szCs w:val="1"/>
          <w:color w:val="auto"/>
        </w:rPr>
        <w:drawing>
          <wp:inline distT="0" distB="0" distL="0" distR="0">
            <wp:extent cx="137160" cy="137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Regular shareholder engagement on governance, compensation and other issues of interest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371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Robust stock ownership guidelines applicable to directors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540"/>
        <w:spacing w:after="0" w:line="268" w:lineRule="auto"/>
        <w:rPr>
          <w:sz w:val="20"/>
          <w:szCs w:val="20"/>
          <w:color w:val="auto"/>
        </w:rPr>
      </w:pPr>
      <w:r>
        <w:rPr>
          <w:sz w:val="1"/>
          <w:szCs w:val="1"/>
          <w:color w:val="auto"/>
        </w:rPr>
        <w:drawing>
          <wp:inline distT="0" distB="0" distL="0" distR="0">
            <wp:extent cx="137160" cy="1028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102870"/>
                    </a:xfrm>
                    <a:prstGeom prst="rect">
                      <a:avLst/>
                    </a:prstGeom>
                    <a:noFill/>
                    <a:ln>
                      <a:noFill/>
                    </a:ln>
                  </pic:spPr>
                </pic:pic>
              </a:graphicData>
            </a:graphic>
          </wp:inline>
        </w:drawing>
      </w:r>
      <w:r>
        <w:rPr>
          <w:rFonts w:ascii="Arial" w:cs="Arial" w:eastAsia="Arial" w:hAnsi="Arial"/>
          <w:sz w:val="18"/>
          <w:szCs w:val="18"/>
          <w:color w:val="auto"/>
        </w:rPr>
        <w:t xml:space="preserve"> Independent lead director facilitates and strengthens the Board's independent oversight</w:t>
      </w:r>
    </w:p>
    <w:p>
      <w:pPr>
        <w:spacing w:after="0" w:line="186" w:lineRule="exact"/>
        <w:rPr>
          <w:sz w:val="20"/>
          <w:szCs w:val="20"/>
          <w:color w:val="auto"/>
        </w:rPr>
      </w:pPr>
    </w:p>
    <w:p>
      <w:pPr>
        <w:ind w:right="160"/>
        <w:spacing w:after="0" w:line="268" w:lineRule="auto"/>
        <w:rPr>
          <w:sz w:val="20"/>
          <w:szCs w:val="20"/>
          <w:color w:val="auto"/>
        </w:rPr>
      </w:pPr>
      <w:r>
        <w:rPr>
          <w:sz w:val="1"/>
          <w:szCs w:val="1"/>
          <w:color w:val="auto"/>
        </w:rPr>
        <w:drawing>
          <wp:inline distT="0" distB="0" distL="0" distR="0">
            <wp:extent cx="137160" cy="1028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102870"/>
                    </a:xfrm>
                    <a:prstGeom prst="rect">
                      <a:avLst/>
                    </a:prstGeom>
                    <a:noFill/>
                    <a:ln>
                      <a:noFill/>
                    </a:ln>
                  </pic:spPr>
                </pic:pic>
              </a:graphicData>
            </a:graphic>
          </wp:inline>
        </w:drawing>
      </w:r>
      <w:r>
        <w:rPr>
          <w:rFonts w:ascii="Arial" w:cs="Arial" w:eastAsia="Arial" w:hAnsi="Arial"/>
          <w:sz w:val="18"/>
          <w:szCs w:val="18"/>
          <w:color w:val="auto"/>
        </w:rPr>
        <w:t xml:space="preserve"> Independent directors meet in executive session without management present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Strong Board oversight of risk management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13716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Annual Board evaluations and self-assessments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13716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Policies prohibiting hedging of shares by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13716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related person transactions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13716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jc w:val="right"/>
        <w:spacing w:after="0"/>
        <w:tabs>
          <w:tab w:leader="none" w:pos="2080" w:val="left"/>
          <w:tab w:leader="none" w:pos="1820" w:val="left"/>
          <w:tab w:leader="none" w:pos="8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tab/>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147955</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140" w:space="720"/>
            <w:col w:w="5380"/>
          </w:cols>
          <w:pgMar w:left="320" w:top="131"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048E0"/>
        </w:rPr>
        <w:t>RECENT GOVERNANCE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1371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Documented and formalized our </w:t>
      </w:r>
      <w:r>
        <w:rPr>
          <w:rFonts w:ascii="Arial" w:cs="Arial" w:eastAsia="Arial" w:hAnsi="Arial"/>
          <w:sz w:val="16"/>
          <w:szCs w:val="16"/>
          <w:b w:val="1"/>
          <w:bCs w:val="1"/>
          <w:color w:val="0048E0"/>
        </w:rPr>
        <w:t>commitment to Board diversity</w:t>
      </w:r>
      <w:r>
        <w:rPr>
          <w:rFonts w:ascii="Arial" w:cs="Arial" w:eastAsia="Arial" w:hAnsi="Arial"/>
          <w:sz w:val="16"/>
          <w:szCs w:val="16"/>
          <w:color w:val="auto"/>
        </w:rPr>
        <w:t xml:space="preserve"> in our Corporate Governance Guidelines and the Governance Committee charter;</w:t>
      </w:r>
    </w:p>
    <w:p>
      <w:pPr>
        <w:spacing w:after="0" w:line="289" w:lineRule="exact"/>
        <w:rPr>
          <w:sz w:val="20"/>
          <w:szCs w:val="20"/>
          <w:color w:val="auto"/>
        </w:rPr>
      </w:pPr>
    </w:p>
    <w:p>
      <w:pPr>
        <w:ind w:right="540"/>
        <w:spacing w:after="0" w:line="253" w:lineRule="auto"/>
        <w:rPr>
          <w:sz w:val="20"/>
          <w:szCs w:val="20"/>
          <w:color w:val="auto"/>
        </w:rPr>
      </w:pPr>
      <w:r>
        <w:rPr>
          <w:sz w:val="1"/>
          <w:szCs w:val="1"/>
          <w:color w:val="auto"/>
        </w:rPr>
        <w:drawing>
          <wp:inline distT="0" distB="0" distL="0" distR="0">
            <wp:extent cx="137160" cy="1371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Formed the </w:t>
      </w:r>
      <w:r>
        <w:rPr>
          <w:rFonts w:ascii="Arial" w:cs="Arial" w:eastAsia="Arial" w:hAnsi="Arial"/>
          <w:sz w:val="18"/>
          <w:szCs w:val="18"/>
          <w:b w:val="1"/>
          <w:bCs w:val="1"/>
          <w:color w:val="0048E0"/>
        </w:rPr>
        <w:t>Sustainability and Corporate Responsibility Committee</w:t>
      </w:r>
      <w:r>
        <w:rPr>
          <w:rFonts w:ascii="Arial" w:cs="Arial" w:eastAsia="Arial" w:hAnsi="Arial"/>
          <w:sz w:val="18"/>
          <w:szCs w:val="18"/>
          <w:color w:val="auto"/>
        </w:rPr>
        <w:t xml:space="preserve"> of the Board in 2020 to oversee our programs, policies, risks and initiatives regarding environmental, health, safety, sustainability, diversity and other social responsibility</w:t>
      </w:r>
    </w:p>
    <w:p>
      <w:pPr>
        <w:ind w:left="360"/>
        <w:spacing w:after="0"/>
        <w:rPr>
          <w:sz w:val="20"/>
          <w:szCs w:val="20"/>
          <w:color w:val="auto"/>
        </w:rPr>
      </w:pPr>
      <w:r>
        <w:rPr>
          <w:rFonts w:ascii="Arial" w:cs="Arial" w:eastAsia="Arial" w:hAnsi="Arial"/>
          <w:sz w:val="18"/>
          <w:szCs w:val="18"/>
          <w:color w:val="auto"/>
        </w:rPr>
        <w:t>issues and impacts (collectively, "Sustainability Matters") on us and our business;</w:t>
      </w:r>
    </w:p>
    <w:p>
      <w:pPr>
        <w:spacing w:after="0" w:line="254" w:lineRule="exact"/>
        <w:rPr>
          <w:sz w:val="20"/>
          <w:szCs w:val="20"/>
          <w:color w:val="auto"/>
        </w:rPr>
      </w:pPr>
    </w:p>
    <w:p>
      <w:pPr>
        <w:ind w:right="720"/>
        <w:spacing w:after="0" w:line="253" w:lineRule="auto"/>
        <w:rPr>
          <w:sz w:val="20"/>
          <w:szCs w:val="20"/>
          <w:color w:val="auto"/>
        </w:rPr>
      </w:pPr>
      <w:r>
        <w:rPr>
          <w:sz w:val="1"/>
          <w:szCs w:val="1"/>
          <w:color w:val="auto"/>
        </w:rPr>
        <w:drawing>
          <wp:inline distT="0" distB="0" distL="0" distR="0">
            <wp:extent cx="137160" cy="1371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Commenced the development of a multi-year </w:t>
      </w:r>
      <w:r>
        <w:rPr>
          <w:rFonts w:ascii="Arial" w:cs="Arial" w:eastAsia="Arial" w:hAnsi="Arial"/>
          <w:sz w:val="18"/>
          <w:szCs w:val="18"/>
          <w:b w:val="1"/>
          <w:bCs w:val="1"/>
          <w:color w:val="0048E0"/>
        </w:rPr>
        <w:t>sustainability and corporate responsibility program</w:t>
      </w:r>
      <w:r>
        <w:rPr>
          <w:rFonts w:ascii="Arial" w:cs="Arial" w:eastAsia="Arial" w:hAnsi="Arial"/>
          <w:sz w:val="18"/>
          <w:szCs w:val="18"/>
          <w:color w:val="auto"/>
        </w:rPr>
        <w:t xml:space="preserve"> designed to identify and prioritize the most significant Sustainability Matters for us and our stakeholders, establish goals and objectives in areas</w:t>
      </w:r>
    </w:p>
    <w:p>
      <w:pPr>
        <w:ind w:right="180" w:firstLine="351"/>
        <w:spacing w:after="0" w:line="260" w:lineRule="auto"/>
        <w:rPr>
          <w:sz w:val="20"/>
          <w:szCs w:val="20"/>
          <w:color w:val="auto"/>
        </w:rPr>
      </w:pPr>
      <w:r>
        <w:rPr>
          <w:rFonts w:ascii="Arial" w:cs="Arial" w:eastAsia="Arial" w:hAnsi="Arial"/>
          <w:sz w:val="18"/>
          <w:szCs w:val="18"/>
          <w:color w:val="auto"/>
        </w:rPr>
        <w:t>where our actions can be most impactful on those priorities, implement initiatives to achieve those goals and objectives, and identify and collect the data needed to measure and report our progress; and</w:t>
      </w:r>
    </w:p>
    <w:p>
      <w:pPr>
        <w:spacing w:after="0" w:line="229" w:lineRule="exact"/>
        <w:rPr>
          <w:sz w:val="20"/>
          <w:szCs w:val="20"/>
          <w:color w:val="auto"/>
        </w:rPr>
      </w:pPr>
    </w:p>
    <w:p>
      <w:pPr>
        <w:ind w:right="60"/>
        <w:spacing w:after="0" w:line="253" w:lineRule="auto"/>
        <w:rPr>
          <w:sz w:val="20"/>
          <w:szCs w:val="20"/>
          <w:color w:val="auto"/>
        </w:rPr>
      </w:pPr>
      <w:r>
        <w:rPr>
          <w:sz w:val="1"/>
          <w:szCs w:val="1"/>
          <w:color w:val="auto"/>
        </w:rPr>
        <w:drawing>
          <wp:inline distT="0" distB="0" distL="0" distR="0">
            <wp:extent cx="137160" cy="1371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Became a </w:t>
      </w:r>
      <w:r>
        <w:rPr>
          <w:rFonts w:ascii="Arial" w:cs="Arial" w:eastAsia="Arial" w:hAnsi="Arial"/>
          <w:sz w:val="18"/>
          <w:szCs w:val="18"/>
          <w:b w:val="1"/>
          <w:bCs w:val="1"/>
          <w:color w:val="0048E0"/>
        </w:rPr>
        <w:t>signatory to the United Nations Global Compact</w:t>
      </w:r>
      <w:r>
        <w:rPr>
          <w:rFonts w:ascii="Arial" w:cs="Arial" w:eastAsia="Arial" w:hAnsi="Arial"/>
          <w:sz w:val="18"/>
          <w:szCs w:val="18"/>
          <w:color w:val="auto"/>
        </w:rPr>
        <w:t>, the world's largest corporate responsibility initiative established to encourage companies to align strategies and operations with universal principles on human rights, labor,</w:t>
      </w:r>
    </w:p>
    <w:p>
      <w:pPr>
        <w:ind w:left="360"/>
        <w:spacing w:after="0"/>
        <w:rPr>
          <w:sz w:val="20"/>
          <w:szCs w:val="20"/>
          <w:color w:val="auto"/>
        </w:rPr>
      </w:pPr>
      <w:r>
        <w:rPr>
          <w:rFonts w:ascii="Arial" w:cs="Arial" w:eastAsia="Arial" w:hAnsi="Arial"/>
          <w:sz w:val="18"/>
          <w:szCs w:val="18"/>
          <w:color w:val="auto"/>
        </w:rPr>
        <w:t>environment and anti-corruption, and to report on the actions being taken to advance these societal goals.</w:t>
      </w:r>
    </w:p>
    <w:p>
      <w:pPr>
        <w:spacing w:after="0" w:line="9" w:lineRule="exact"/>
        <w:rPr>
          <w:sz w:val="20"/>
          <w:szCs w:val="20"/>
          <w:color w:val="auto"/>
        </w:rPr>
      </w:pPr>
    </w:p>
    <w:p>
      <w:pPr>
        <w:jc w:val="right"/>
        <w:spacing w:after="0"/>
        <w:tabs>
          <w:tab w:leader="none" w:pos="2120" w:val="left"/>
          <w:tab w:leader="none" w:pos="1860" w:val="left"/>
          <w:tab w:leader="none" w:pos="12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tab/>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176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tc>
        <w:tc>
          <w:tcPr>
            <w:tcW w:w="164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48"/>
        </w:trPr>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300" w:type="dxa"/>
            <w:vAlign w:val="bottom"/>
            <w:gridSpan w:val="2"/>
          </w:tcPr>
          <w:p>
            <w:pPr>
              <w:ind w:left="154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gridSpan w:val="2"/>
          </w:tcPr>
          <w:p>
            <w:pPr>
              <w:jc w:val="right"/>
              <w:ind w:right="1140"/>
              <w:spacing w:after="0"/>
              <w:rPr>
                <w:sz w:val="20"/>
                <w:szCs w:val="20"/>
                <w:color w:val="auto"/>
              </w:rPr>
            </w:pPr>
            <w:r>
              <w:rPr>
                <w:rFonts w:ascii="Arial" w:cs="Arial" w:eastAsia="Arial" w:hAnsi="Arial"/>
                <w:sz w:val="18"/>
                <w:szCs w:val="18"/>
                <w:b w:val="1"/>
                <w:bCs w:val="1"/>
                <w:color w:val="auto"/>
                <w:w w:val="88"/>
              </w:rPr>
              <w:t>Page</w:t>
            </w:r>
          </w:p>
        </w:tc>
      </w:tr>
      <w:tr>
        <w:trPr>
          <w:trHeight w:val="218"/>
        </w:trPr>
        <w:tc>
          <w:tcPr>
            <w:tcW w:w="9700" w:type="dxa"/>
            <w:vAlign w:val="bottom"/>
            <w:gridSpan w:val="4"/>
          </w:tcPr>
          <w:p>
            <w:pPr>
              <w:ind w:left="1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PROXY STATEMENT</w:t>
              </w:r>
            </w:hyperlink>
          </w:p>
        </w:tc>
        <w:tc>
          <w:tcPr>
            <w:tcW w:w="40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1</w:t>
              </w:r>
            </w:hyperlink>
          </w:p>
        </w:tc>
        <w:tc>
          <w:tcPr>
            <w:tcW w:w="1140" w:type="dxa"/>
            <w:vAlign w:val="bottom"/>
          </w:tcPr>
          <w:p>
            <w:pPr>
              <w:spacing w:after="0"/>
              <w:rPr>
                <w:sz w:val="18"/>
                <w:szCs w:val="18"/>
                <w:color w:val="auto"/>
              </w:rPr>
            </w:pPr>
          </w:p>
        </w:tc>
      </w:tr>
      <w:tr>
        <w:trPr>
          <w:trHeight w:val="451"/>
        </w:trPr>
        <w:tc>
          <w:tcPr>
            <w:tcW w:w="9700" w:type="dxa"/>
            <w:vAlign w:val="bottom"/>
            <w:gridSpan w:val="4"/>
          </w:tcPr>
          <w:p>
            <w:pPr>
              <w:ind w:left="11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QUESTIONS AND ANSWERS ABOUT OUR ANNUAL MEETING</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2</w:t>
              </w:r>
            </w:hyperlink>
          </w:p>
        </w:tc>
      </w:tr>
      <w:tr>
        <w:trPr>
          <w:trHeight w:val="459"/>
        </w:trPr>
        <w:tc>
          <w:tcPr>
            <w:tcW w:w="1760" w:type="dxa"/>
            <w:vAlign w:val="bottom"/>
          </w:tcPr>
          <w:p>
            <w:pPr>
              <w:ind w:left="11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w:t>
              </w:r>
            </w:hyperlink>
          </w:p>
        </w:tc>
        <w:tc>
          <w:tcPr>
            <w:tcW w:w="7940" w:type="dxa"/>
            <w:vAlign w:val="bottom"/>
            <w:gridSpan w:val="3"/>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PROPOSAL NO. 1—ELECTION OF DIRECTORS</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7</w:t>
              </w:r>
            </w:hyperlink>
          </w:p>
        </w:tc>
      </w:tr>
      <w:tr>
        <w:trPr>
          <w:trHeight w:val="459"/>
        </w:trPr>
        <w:tc>
          <w:tcPr>
            <w:tcW w:w="1760" w:type="dxa"/>
            <w:vAlign w:val="bottom"/>
          </w:tcPr>
          <w:p>
            <w:pPr>
              <w:ind w:left="1140"/>
              <w:spacing w:after="0"/>
              <w:rPr>
                <w:rFonts w:ascii="Arial" w:cs="Arial" w:eastAsia="Arial" w:hAnsi="Arial"/>
                <w:sz w:val="18"/>
                <w:szCs w:val="18"/>
                <w:color w:val="0000EE"/>
              </w:rPr>
            </w:pPr>
            <w:hyperlink w:anchor="page19">
              <w:r>
                <w:rPr>
                  <w:rFonts w:ascii="Arial" w:cs="Arial" w:eastAsia="Arial" w:hAnsi="Arial"/>
                  <w:sz w:val="18"/>
                  <w:szCs w:val="18"/>
                  <w:u w:val="single" w:color="auto"/>
                  <w:color w:val="0000EE"/>
                </w:rPr>
                <w:t>II</w:t>
              </w:r>
              <w:r>
                <w:rPr>
                  <w:rFonts w:ascii="Arial" w:cs="Arial" w:eastAsia="Arial" w:hAnsi="Arial"/>
                  <w:sz w:val="18"/>
                  <w:szCs w:val="18"/>
                  <w:color w:val="0000EE"/>
                </w:rPr>
                <w:t>.</w:t>
              </w:r>
            </w:hyperlink>
          </w:p>
        </w:tc>
        <w:tc>
          <w:tcPr>
            <w:tcW w:w="794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CORPORATE GOVERNANCE</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12</w:t>
              </w:r>
            </w:hyperlink>
          </w:p>
        </w:tc>
      </w:tr>
      <w:tr>
        <w:trPr>
          <w:trHeight w:val="453"/>
        </w:trPr>
        <w:tc>
          <w:tcPr>
            <w:tcW w:w="1760" w:type="dxa"/>
            <w:vAlign w:val="bottom"/>
          </w:tcPr>
          <w:p>
            <w:pPr>
              <w:spacing w:after="0"/>
              <w:rPr>
                <w:sz w:val="24"/>
                <w:szCs w:val="24"/>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Board Leadership Structure</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12</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Lead Independent Director</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13</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Shareholder Engagement</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13</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Meetings</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14</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Director Independence</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14</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Annual Board and Committee Self-Evaluations</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14</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Corporate Governance Principles</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15</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Committees of the Board</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15</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Director Nomination Process</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22</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Nominee Qualifications and the Nomination Process</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22</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Director Resignation Policy</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24</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Sustainability and Corporate Responsibility</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24</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Board's Role in Risk Oversight</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28</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Code of Conduct</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29</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Review and Approval of Related Person Transactions</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29</w:t>
              </w:r>
            </w:hyperlink>
          </w:p>
        </w:tc>
      </w:tr>
      <w:tr>
        <w:trPr>
          <w:trHeight w:val="222"/>
        </w:trPr>
        <w:tc>
          <w:tcPr>
            <w:tcW w:w="1760" w:type="dxa"/>
            <w:vAlign w:val="bottom"/>
          </w:tcPr>
          <w:p>
            <w:pPr>
              <w:spacing w:after="0"/>
              <w:rPr>
                <w:sz w:val="19"/>
                <w:szCs w:val="19"/>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Director Compensation and Ownership Guidelines</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31</w:t>
              </w:r>
            </w:hyperlink>
          </w:p>
        </w:tc>
      </w:tr>
      <w:tr>
        <w:trPr>
          <w:trHeight w:val="459"/>
        </w:trPr>
        <w:tc>
          <w:tcPr>
            <w:tcW w:w="1760" w:type="dxa"/>
            <w:vAlign w:val="bottom"/>
          </w:tcPr>
          <w:p>
            <w:pPr>
              <w:ind w:left="1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III.</w:t>
              </w:r>
            </w:hyperlink>
          </w:p>
        </w:tc>
        <w:tc>
          <w:tcPr>
            <w:tcW w:w="7940" w:type="dxa"/>
            <w:vAlign w:val="bottom"/>
            <w:gridSpan w:val="3"/>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INFORMATION CONCERNING EXECUTIVE OFFICERS</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34</w:t>
              </w:r>
            </w:hyperlink>
          </w:p>
        </w:tc>
      </w:tr>
      <w:tr>
        <w:trPr>
          <w:trHeight w:val="459"/>
        </w:trPr>
        <w:tc>
          <w:tcPr>
            <w:tcW w:w="1760" w:type="dxa"/>
            <w:vAlign w:val="bottom"/>
          </w:tcPr>
          <w:p>
            <w:pPr>
              <w:ind w:left="11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IV.</w:t>
              </w:r>
            </w:hyperlink>
          </w:p>
        </w:tc>
        <w:tc>
          <w:tcPr>
            <w:tcW w:w="7940" w:type="dxa"/>
            <w:vAlign w:val="bottom"/>
            <w:gridSpan w:val="3"/>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COMPENSATION DISCUSSION AND ANALYSIS</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36</w:t>
              </w:r>
            </w:hyperlink>
          </w:p>
        </w:tc>
      </w:tr>
      <w:tr>
        <w:trPr>
          <w:trHeight w:val="459"/>
        </w:trPr>
        <w:tc>
          <w:tcPr>
            <w:tcW w:w="1760" w:type="dxa"/>
            <w:vAlign w:val="bottom"/>
          </w:tcPr>
          <w:p>
            <w:pPr>
              <w:ind w:left="1140"/>
              <w:spacing w:after="0"/>
              <w:rPr>
                <w:rFonts w:ascii="Arial" w:cs="Arial" w:eastAsia="Arial" w:hAnsi="Arial"/>
                <w:sz w:val="18"/>
                <w:szCs w:val="18"/>
                <w:color w:val="0000EE"/>
              </w:rPr>
            </w:pPr>
            <w:hyperlink w:anchor="page62">
              <w:r>
                <w:rPr>
                  <w:rFonts w:ascii="Arial" w:cs="Arial" w:eastAsia="Arial" w:hAnsi="Arial"/>
                  <w:sz w:val="18"/>
                  <w:szCs w:val="18"/>
                  <w:u w:val="single" w:color="auto"/>
                  <w:color w:val="0000EE"/>
                </w:rPr>
                <w:t>V</w:t>
              </w:r>
              <w:r>
                <w:rPr>
                  <w:rFonts w:ascii="Arial" w:cs="Arial" w:eastAsia="Arial" w:hAnsi="Arial"/>
                  <w:sz w:val="18"/>
                  <w:szCs w:val="18"/>
                  <w:color w:val="0000EE"/>
                </w:rPr>
                <w:t>.</w:t>
              </w:r>
            </w:hyperlink>
          </w:p>
        </w:tc>
        <w:tc>
          <w:tcPr>
            <w:tcW w:w="7940" w:type="dxa"/>
            <w:vAlign w:val="bottom"/>
            <w:gridSpan w:val="3"/>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EXECUTIVE COMPENSATION TABLES</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55</w:t>
              </w:r>
            </w:hyperlink>
          </w:p>
        </w:tc>
      </w:tr>
      <w:tr>
        <w:trPr>
          <w:trHeight w:val="459"/>
        </w:trPr>
        <w:tc>
          <w:tcPr>
            <w:tcW w:w="1760" w:type="dxa"/>
            <w:vAlign w:val="bottom"/>
          </w:tcPr>
          <w:p>
            <w:pPr>
              <w:ind w:left="1140"/>
              <w:spacing w:after="0"/>
              <w:rPr>
                <w:rFonts w:ascii="Arial" w:cs="Arial" w:eastAsia="Arial" w:hAnsi="Arial"/>
                <w:sz w:val="18"/>
                <w:szCs w:val="18"/>
                <w:color w:val="0000EE"/>
              </w:rPr>
            </w:pPr>
            <w:hyperlink w:anchor="page75">
              <w:r>
                <w:rPr>
                  <w:rFonts w:ascii="Arial" w:cs="Arial" w:eastAsia="Arial" w:hAnsi="Arial"/>
                  <w:sz w:val="18"/>
                  <w:szCs w:val="18"/>
                  <w:u w:val="single" w:color="auto"/>
                  <w:color w:val="0000EE"/>
                </w:rPr>
                <w:t>VI</w:t>
              </w:r>
              <w:r>
                <w:rPr>
                  <w:rFonts w:ascii="Arial" w:cs="Arial" w:eastAsia="Arial" w:hAnsi="Arial"/>
                  <w:sz w:val="18"/>
                  <w:szCs w:val="18"/>
                  <w:color w:val="0000EE"/>
                </w:rPr>
                <w:t>.</w:t>
              </w:r>
            </w:hyperlink>
          </w:p>
        </w:tc>
        <w:tc>
          <w:tcPr>
            <w:tcW w:w="7940" w:type="dxa"/>
            <w:vAlign w:val="bottom"/>
            <w:gridSpan w:val="3"/>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PROPOSAL NO. 2—NON-BINDING, ADVISORY VOTE ON EXECUTIVE COMPENSATION</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68</w:t>
              </w:r>
            </w:hyperlink>
          </w:p>
        </w:tc>
      </w:tr>
      <w:tr>
        <w:trPr>
          <w:trHeight w:val="420"/>
        </w:trPr>
        <w:tc>
          <w:tcPr>
            <w:tcW w:w="1760" w:type="dxa"/>
            <w:vAlign w:val="bottom"/>
          </w:tcPr>
          <w:p>
            <w:pPr>
              <w:ind w:left="11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VII.</w:t>
              </w:r>
            </w:hyperlink>
          </w:p>
        </w:tc>
        <w:tc>
          <w:tcPr>
            <w:tcW w:w="7940" w:type="dxa"/>
            <w:vAlign w:val="bottom"/>
            <w:gridSpan w:val="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PROPOSAL NO. 3—RATIFICATION OF INDEPENDENT REGISTERED CERTIFIED PUBLIC</w:t>
              </w:r>
            </w:hyperlink>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760" w:type="dxa"/>
            <w:vAlign w:val="bottom"/>
          </w:tcPr>
          <w:p>
            <w:pPr>
              <w:spacing w:after="0"/>
              <w:rPr>
                <w:sz w:val="17"/>
                <w:szCs w:val="17"/>
                <w:color w:val="auto"/>
              </w:rPr>
            </w:pPr>
          </w:p>
        </w:tc>
        <w:tc>
          <w:tcPr>
            <w:tcW w:w="6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ACCOUNTING FIRM</w:t>
              </w:r>
            </w:hyperlink>
          </w:p>
        </w:tc>
        <w:tc>
          <w:tcPr>
            <w:tcW w:w="960" w:type="dxa"/>
            <w:vAlign w:val="bottom"/>
          </w:tcPr>
          <w:p>
            <w:pPr>
              <w:spacing w:after="0"/>
              <w:rPr>
                <w:sz w:val="17"/>
                <w:szCs w:val="17"/>
                <w:color w:val="auto"/>
              </w:rPr>
            </w:pPr>
          </w:p>
        </w:tc>
        <w:tc>
          <w:tcPr>
            <w:tcW w:w="1540" w:type="dxa"/>
            <w:vAlign w:val="bottom"/>
            <w:gridSpan w:val="2"/>
          </w:tcPr>
          <w:p>
            <w:pPr>
              <w:jc w:val="right"/>
              <w:ind w:right="1120"/>
              <w:spacing w:after="0" w:line="196" w:lineRule="exact"/>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69</w:t>
              </w:r>
            </w:hyperlink>
          </w:p>
        </w:tc>
      </w:tr>
      <w:tr>
        <w:trPr>
          <w:trHeight w:val="20"/>
        </w:trPr>
        <w:tc>
          <w:tcPr>
            <w:tcW w:w="176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r>
      <w:tr>
        <w:trPr>
          <w:trHeight w:val="478"/>
        </w:trPr>
        <w:tc>
          <w:tcPr>
            <w:tcW w:w="1760" w:type="dxa"/>
            <w:vAlign w:val="bottom"/>
          </w:tcPr>
          <w:p>
            <w:pPr>
              <w:ind w:left="114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VIII.</w:t>
              </w:r>
            </w:hyperlink>
          </w:p>
        </w:tc>
        <w:tc>
          <w:tcPr>
            <w:tcW w:w="7940" w:type="dxa"/>
            <w:vAlign w:val="bottom"/>
            <w:gridSpan w:val="3"/>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PROPOSAL NO. 4—APPROVAL OF THE 2020 OMNIBUS PLAN</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73</w:t>
              </w:r>
            </w:hyperlink>
          </w:p>
        </w:tc>
      </w:tr>
      <w:tr>
        <w:trPr>
          <w:trHeight w:val="459"/>
        </w:trPr>
        <w:tc>
          <w:tcPr>
            <w:tcW w:w="1760" w:type="dxa"/>
            <w:vAlign w:val="bottom"/>
          </w:tcPr>
          <w:p>
            <w:pPr>
              <w:ind w:left="1140"/>
              <w:spacing w:after="0"/>
              <w:rPr>
                <w:rFonts w:ascii="Arial" w:cs="Arial" w:eastAsia="Arial" w:hAnsi="Arial"/>
                <w:sz w:val="18"/>
                <w:szCs w:val="18"/>
                <w:color w:val="0000EE"/>
              </w:rPr>
            </w:pPr>
            <w:hyperlink w:anchor="page93">
              <w:r>
                <w:rPr>
                  <w:rFonts w:ascii="Arial" w:cs="Arial" w:eastAsia="Arial" w:hAnsi="Arial"/>
                  <w:sz w:val="18"/>
                  <w:szCs w:val="18"/>
                  <w:u w:val="single" w:color="auto"/>
                  <w:color w:val="0000EE"/>
                </w:rPr>
                <w:t>IX</w:t>
              </w:r>
              <w:r>
                <w:rPr>
                  <w:rFonts w:ascii="Arial" w:cs="Arial" w:eastAsia="Arial" w:hAnsi="Arial"/>
                  <w:sz w:val="18"/>
                  <w:szCs w:val="18"/>
                  <w:color w:val="0000EE"/>
                </w:rPr>
                <w:t>.</w:t>
              </w:r>
            </w:hyperlink>
          </w:p>
        </w:tc>
        <w:tc>
          <w:tcPr>
            <w:tcW w:w="7940" w:type="dxa"/>
            <w:vAlign w:val="bottom"/>
            <w:gridSpan w:val="3"/>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SECURITY OWNERSHIP OF CERTAIN BENEFICIAL OWNERS AND MANAGEMENT</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86</w:t>
              </w:r>
            </w:hyperlink>
          </w:p>
        </w:tc>
      </w:tr>
      <w:tr>
        <w:trPr>
          <w:trHeight w:val="459"/>
        </w:trPr>
        <w:tc>
          <w:tcPr>
            <w:tcW w:w="1760" w:type="dxa"/>
            <w:vAlign w:val="bottom"/>
          </w:tcPr>
          <w:p>
            <w:pPr>
              <w:ind w:left="114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X.</w:t>
              </w:r>
            </w:hyperlink>
          </w:p>
        </w:tc>
        <w:tc>
          <w:tcPr>
            <w:tcW w:w="7940" w:type="dxa"/>
            <w:vAlign w:val="bottom"/>
            <w:gridSpan w:val="3"/>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OTHER MATTERS</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89</w:t>
              </w:r>
            </w:hyperlink>
          </w:p>
        </w:tc>
      </w:tr>
      <w:tr>
        <w:trPr>
          <w:trHeight w:val="453"/>
        </w:trPr>
        <w:tc>
          <w:tcPr>
            <w:tcW w:w="1760" w:type="dxa"/>
            <w:vAlign w:val="bottom"/>
          </w:tcPr>
          <w:p>
            <w:pPr>
              <w:spacing w:after="0"/>
              <w:rPr>
                <w:sz w:val="24"/>
                <w:szCs w:val="24"/>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Section 16(a) Beneficial Ownership Reporting Compliance</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89</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Shareholder Proposals for the 2021 Annual Meeting</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89</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List of Shareholders Entitled to Vote at the Annual Meeting</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90</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Expenses Relating to this Proxy Solicitation</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90</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Communication with our Board</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90</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Available Information</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90</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Electronic Delivery</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91</w:t>
              </w:r>
            </w:hyperlink>
          </w:p>
        </w:tc>
      </w:tr>
      <w:tr>
        <w:trPr>
          <w:trHeight w:val="216"/>
        </w:trPr>
        <w:tc>
          <w:tcPr>
            <w:tcW w:w="1760" w:type="dxa"/>
            <w:vAlign w:val="bottom"/>
          </w:tcPr>
          <w:p>
            <w:pPr>
              <w:spacing w:after="0"/>
              <w:rPr>
                <w:sz w:val="18"/>
                <w:szCs w:val="18"/>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Householding</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91</w:t>
              </w:r>
            </w:hyperlink>
          </w:p>
        </w:tc>
      </w:tr>
      <w:tr>
        <w:trPr>
          <w:trHeight w:val="222"/>
        </w:trPr>
        <w:tc>
          <w:tcPr>
            <w:tcW w:w="1760" w:type="dxa"/>
            <w:vAlign w:val="bottom"/>
          </w:tcPr>
          <w:p>
            <w:pPr>
              <w:spacing w:after="0"/>
              <w:rPr>
                <w:sz w:val="19"/>
                <w:szCs w:val="19"/>
                <w:color w:val="auto"/>
              </w:rPr>
            </w:pPr>
          </w:p>
        </w:tc>
        <w:tc>
          <w:tcPr>
            <w:tcW w:w="7940" w:type="dxa"/>
            <w:vAlign w:val="bottom"/>
            <w:gridSpan w:val="3"/>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Appendix A: 2020 Omnibus Plan</w:t>
              </w:r>
            </w:hyperlink>
          </w:p>
        </w:tc>
        <w:tc>
          <w:tcPr>
            <w:tcW w:w="1540" w:type="dxa"/>
            <w:vAlign w:val="bottom"/>
            <w:gridSpan w:val="2"/>
          </w:tcPr>
          <w:p>
            <w:pPr>
              <w:jc w:val="right"/>
              <w:ind w:right="112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A-1</w:t>
              </w:r>
            </w:hyperlink>
          </w:p>
        </w:tc>
      </w:tr>
      <w:tr>
        <w:trPr>
          <w:trHeight w:val="120"/>
        </w:trPr>
        <w:tc>
          <w:tcPr>
            <w:tcW w:w="17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147955</wp:posOffset>
            </wp:positionV>
            <wp:extent cx="2288540" cy="11061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854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9800 Northwest 41st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Miami, Florida 33178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144145</wp:posOffset>
            </wp:positionV>
            <wp:extent cx="15087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151765</wp:posOffset>
            </wp:positionV>
            <wp:extent cx="15087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FRIDAY, MAY 22, 2020</w:t>
      </w:r>
    </w:p>
    <w:p>
      <w:pPr>
        <w:spacing w:after="0" w:line="174"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proxy materials listed below are available to you at www.proxyvote.com. You will need your 12-digit control number found on your proxy card, voter instruction form or Notice of Internet Availability to access these materials:</w:t>
      </w:r>
    </w:p>
    <w:p>
      <w:pPr>
        <w:spacing w:after="0" w:line="187"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our annual report for the fiscal year ended December 31, 2019;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our 2020 proxy statement (including all attachments thereto);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the proxy card;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any amendments to the foregoing materials that are required to be furnished to shareholders.</w:t>
      </w:r>
    </w:p>
    <w:p>
      <w:pPr>
        <w:spacing w:after="0" w:line="231" w:lineRule="exact"/>
        <w:rPr>
          <w:sz w:val="20"/>
          <w:szCs w:val="20"/>
          <w:color w:val="auto"/>
        </w:rPr>
      </w:pPr>
    </w:p>
    <w:p>
      <w:pPr>
        <w:ind w:right="200" w:firstLine="605"/>
        <w:spacing w:after="0" w:line="268" w:lineRule="auto"/>
        <w:rPr>
          <w:sz w:val="20"/>
          <w:szCs w:val="20"/>
          <w:color w:val="auto"/>
        </w:rPr>
      </w:pPr>
      <w:r>
        <w:rPr>
          <w:rFonts w:ascii="Arial" w:cs="Arial" w:eastAsia="Arial" w:hAnsi="Arial"/>
          <w:sz w:val="18"/>
          <w:szCs w:val="18"/>
          <w:color w:val="auto"/>
        </w:rPr>
        <w:t>Among other things, this proxy statement contains information regarding (i) the date, time and location of the meeting; (ii) a list of the matters being submitted to our shareholders; and (iii) information concerning voting for these matters at the meeting.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20" w:firstLine="611"/>
        <w:spacing w:after="0" w:line="306" w:lineRule="auto"/>
        <w:rPr>
          <w:sz w:val="20"/>
          <w:szCs w:val="20"/>
          <w:color w:val="auto"/>
        </w:rPr>
      </w:pPr>
      <w:r>
        <w:rPr>
          <w:rFonts w:ascii="Arial" w:cs="Arial" w:eastAsia="Arial" w:hAnsi="Arial"/>
          <w:sz w:val="16"/>
          <w:szCs w:val="16"/>
          <w:color w:val="auto"/>
        </w:rPr>
        <w:t>This proxy statement is furnished to the shareholders of World Fuel Services Corporation in connection with the solicitation of proxies by the Board of Directors, or the "Board", for the 2020 annual meeting of shareholders, or the "Annual Meeting". The terms "World Fuel", "Company," "we," "our" and "us" used in this proxy statement refer to World Fuel Services Corporation and its subsidiaries unless the context otherwise requires.</w:t>
      </w:r>
    </w:p>
    <w:p>
      <w:pPr>
        <w:spacing w:after="0" w:line="160" w:lineRule="exact"/>
        <w:rPr>
          <w:sz w:val="20"/>
          <w:szCs w:val="20"/>
          <w:color w:val="auto"/>
        </w:rPr>
      </w:pPr>
    </w:p>
    <w:p>
      <w:pPr>
        <w:ind w:right="40" w:firstLine="611"/>
        <w:spacing w:after="0" w:line="283" w:lineRule="auto"/>
        <w:rPr>
          <w:sz w:val="20"/>
          <w:szCs w:val="20"/>
          <w:color w:val="auto"/>
        </w:rPr>
      </w:pPr>
      <w:r>
        <w:rPr>
          <w:rFonts w:ascii="Arial" w:cs="Arial" w:eastAsia="Arial" w:hAnsi="Arial"/>
          <w:sz w:val="16"/>
          <w:szCs w:val="16"/>
          <w:color w:val="auto"/>
        </w:rPr>
        <w:t>We are utilizing the Securities and Exchange Commission, or "SEC", rule allowing companies to furnish proxy materials to their shareholders over the Internet. In accordance with this rule, on or about April 9, 2020, we sent our shareholders as of the close of business on March 30, 2020 a Notice of Internet Availability of Proxy Materials for the Annual Meeting, which we refer to as the "Notice". The Notice contains instructions on how to access our proxy statement and annual report and vote online. If you received a Notice and would like to receive a printed copy of our proxy materials from us instead of downloading a printable version from the Internet, please follow the instructions included in the Notice for requesting such materials at no charge.</w:t>
      </w:r>
    </w:p>
    <w:p>
      <w:pPr>
        <w:spacing w:after="0" w:line="2"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0048E0"/>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is the date, time and place of the Annual Meeting?</w:t>
      </w:r>
    </w:p>
    <w:p>
      <w:pPr>
        <w:spacing w:after="0" w:line="231" w:lineRule="exact"/>
        <w:rPr>
          <w:sz w:val="20"/>
          <w:szCs w:val="20"/>
          <w:color w:val="auto"/>
        </w:rPr>
      </w:pPr>
    </w:p>
    <w:p>
      <w:pPr>
        <w:ind w:right="120" w:firstLine="614"/>
        <w:spacing w:after="0" w:line="253" w:lineRule="auto"/>
        <w:rPr>
          <w:sz w:val="20"/>
          <w:szCs w:val="20"/>
          <w:color w:val="auto"/>
        </w:rPr>
      </w:pPr>
      <w:r>
        <w:rPr>
          <w:rFonts w:ascii="Arial" w:cs="Arial" w:eastAsia="Arial" w:hAnsi="Arial"/>
          <w:sz w:val="18"/>
          <w:szCs w:val="18"/>
          <w:color w:val="auto"/>
        </w:rPr>
        <w:t>Our Annual Meeting will be held on Friday, May 22, 2020, at 8:00 a.m., Eastern Time, at our offices located at 9800 Northwest 41st Street, Miami, Florida 33178. We currently intend to hold the Annual Meeting in person. However, we are actively monitoring the coronavirus, or COVID-19, pandemic and are sensitive to the public health and travel concerns that our shareholders may have, as well as protocols that federal, state, and local governments may impose. If it is not possible or advisable to hold the Annual Meeting in person, we will announce alternative arrangements for the meeting as promptly as practicable, which may include switching to a virtual meeting format, or changing the time, date or location of the Annual Meeting. Any such change will be announced via press release and will be available on our website at: www.wfscorp.com in the Investor Relations section and filed as definitive additional soliciting materials with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am I being asked to vote on and what is the Board recommendation?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At the Annual Meeting you will be asked to vote on the following four proposals. Our Board recommendation for each of these proposals is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6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4"/>
                <w:szCs w:val="14"/>
                <w:color w:val="auto"/>
              </w:rPr>
            </w:pPr>
          </w:p>
        </w:tc>
        <w:tc>
          <w:tcPr>
            <w:tcW w:w="6160" w:type="dxa"/>
            <w:vAlign w:val="bottom"/>
            <w:tcBorders>
              <w:bottom w:val="single" w:sz="8" w:color="auto"/>
            </w:tcBorders>
          </w:tcPr>
          <w:p>
            <w:pPr>
              <w:ind w:left="2820"/>
              <w:spacing w:after="0"/>
              <w:rPr>
                <w:sz w:val="20"/>
                <w:szCs w:val="20"/>
                <w:color w:val="auto"/>
              </w:rPr>
            </w:pPr>
            <w:r>
              <w:rPr>
                <w:rFonts w:ascii="Arial" w:cs="Arial" w:eastAsia="Arial" w:hAnsi="Arial"/>
                <w:sz w:val="13"/>
                <w:szCs w:val="13"/>
                <w:b w:val="1"/>
                <w:bCs w:val="1"/>
                <w:color w:val="auto"/>
              </w:rPr>
              <w:t>Proposal</w:t>
            </w:r>
          </w:p>
        </w:tc>
        <w:tc>
          <w:tcPr>
            <w:tcW w:w="16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Board Recommendation</w:t>
            </w:r>
          </w:p>
        </w:tc>
        <w:tc>
          <w:tcPr>
            <w:tcW w:w="0" w:type="dxa"/>
            <w:vAlign w:val="bottom"/>
          </w:tcPr>
          <w:p>
            <w:pPr>
              <w:spacing w:after="0"/>
              <w:rPr>
                <w:sz w:val="1"/>
                <w:szCs w:val="1"/>
                <w:color w:val="auto"/>
              </w:rPr>
            </w:pPr>
          </w:p>
        </w:tc>
      </w:tr>
      <w:tr>
        <w:trPr>
          <w:trHeight w:val="201"/>
        </w:trPr>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spacing w:after="0" w:line="201" w:lineRule="exact"/>
              <w:rPr>
                <w:sz w:val="20"/>
                <w:szCs w:val="20"/>
                <w:color w:val="auto"/>
              </w:rPr>
            </w:pPr>
            <w:r>
              <w:rPr>
                <w:rFonts w:ascii="Arial" w:cs="Arial" w:eastAsia="Arial" w:hAnsi="Arial"/>
                <w:sz w:val="18"/>
                <w:szCs w:val="18"/>
                <w:color w:val="auto"/>
                <w:w w:val="90"/>
              </w:rPr>
              <w:t>To elect eight directors each for a term expiring at the next annual meeting or until his</w:t>
            </w:r>
          </w:p>
        </w:tc>
        <w:tc>
          <w:tcPr>
            <w:tcW w:w="160" w:type="dxa"/>
            <w:vAlign w:val="bottom"/>
          </w:tcPr>
          <w:p>
            <w:pPr>
              <w:spacing w:after="0"/>
              <w:rPr>
                <w:sz w:val="17"/>
                <w:szCs w:val="17"/>
                <w:color w:val="auto"/>
              </w:rPr>
            </w:pPr>
          </w:p>
        </w:tc>
        <w:tc>
          <w:tcPr>
            <w:tcW w:w="23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FOR each Director Nominee</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rPr>
              <w:t>or her successor has been duly elected and qualified.</w:t>
            </w:r>
          </w:p>
        </w:tc>
        <w:tc>
          <w:tcPr>
            <w:tcW w:w="160" w:type="dxa"/>
            <w:vAlign w:val="bottom"/>
          </w:tcPr>
          <w:p>
            <w:pPr>
              <w:spacing w:after="0"/>
              <w:rPr>
                <w:sz w:val="18"/>
                <w:szCs w:val="18"/>
                <w:color w:val="auto"/>
              </w:rPr>
            </w:pPr>
          </w:p>
        </w:tc>
        <w:tc>
          <w:tcPr>
            <w:tcW w:w="2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2.</w:t>
            </w: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w w:val="87"/>
              </w:rPr>
              <w:t>To approve on a non-binding, advisory basis, the compensation of our named executive</w:t>
            </w:r>
          </w:p>
        </w:tc>
        <w:tc>
          <w:tcPr>
            <w:tcW w:w="160" w:type="dxa"/>
            <w:vAlign w:val="bottom"/>
          </w:tcPr>
          <w:p>
            <w:pPr>
              <w:spacing w:after="0"/>
              <w:rPr>
                <w:sz w:val="18"/>
                <w:szCs w:val="18"/>
                <w:color w:val="auto"/>
              </w:rPr>
            </w:pP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w w:val="99"/>
              </w:rPr>
              <w:t>officers ("NEOs"), as disclosed in this proxy statement pursuant to Item 402 of</w:t>
            </w: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w w:val="91"/>
              </w:rPr>
              <w:t>Regulation S-K, including the Compensation Discussion and Analysis, compensation</w:t>
            </w: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rPr>
              <w:t>tables and narrative discussion below.</w:t>
            </w:r>
          </w:p>
        </w:tc>
        <w:tc>
          <w:tcPr>
            <w:tcW w:w="160" w:type="dxa"/>
            <w:vAlign w:val="bottom"/>
          </w:tcPr>
          <w:p>
            <w:pPr>
              <w:spacing w:after="0"/>
              <w:rPr>
                <w:sz w:val="18"/>
                <w:szCs w:val="18"/>
                <w:color w:val="auto"/>
              </w:rPr>
            </w:pPr>
          </w:p>
        </w:tc>
        <w:tc>
          <w:tcPr>
            <w:tcW w:w="2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w w:val="88"/>
              </w:rPr>
              <w:t>To ratify the appointment of PricewaterhouseCoopers LLP ("PwC") as our independent</w:t>
            </w:r>
          </w:p>
        </w:tc>
        <w:tc>
          <w:tcPr>
            <w:tcW w:w="160" w:type="dxa"/>
            <w:vAlign w:val="bottom"/>
          </w:tcPr>
          <w:p>
            <w:pPr>
              <w:spacing w:after="0"/>
              <w:rPr>
                <w:sz w:val="18"/>
                <w:szCs w:val="18"/>
                <w:color w:val="auto"/>
              </w:rPr>
            </w:pP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w w:val="92"/>
              </w:rPr>
              <w:t>registered certified public accounting firm ("independent auditor") for the 2020 fiscal</w:t>
            </w: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rPr>
              <w:t>year.</w:t>
            </w:r>
          </w:p>
        </w:tc>
        <w:tc>
          <w:tcPr>
            <w:tcW w:w="160" w:type="dxa"/>
            <w:vAlign w:val="bottom"/>
          </w:tcPr>
          <w:p>
            <w:pPr>
              <w:spacing w:after="0"/>
              <w:rPr>
                <w:sz w:val="18"/>
                <w:szCs w:val="18"/>
                <w:color w:val="auto"/>
              </w:rPr>
            </w:pPr>
          </w:p>
        </w:tc>
        <w:tc>
          <w:tcPr>
            <w:tcW w:w="2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w w:val="89"/>
              </w:rPr>
              <w:t>To approve the World Fuel Services Corporation 2020 Omnibus Plan (the "2020 Plan"</w:t>
            </w:r>
          </w:p>
        </w:tc>
        <w:tc>
          <w:tcPr>
            <w:tcW w:w="160" w:type="dxa"/>
            <w:vAlign w:val="bottom"/>
          </w:tcPr>
          <w:p>
            <w:pPr>
              <w:spacing w:after="0"/>
              <w:rPr>
                <w:sz w:val="18"/>
                <w:szCs w:val="18"/>
                <w:color w:val="auto"/>
              </w:rPr>
            </w:pP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6260" w:type="dxa"/>
            <w:vAlign w:val="bottom"/>
            <w:gridSpan w:val="2"/>
          </w:tcPr>
          <w:p>
            <w:pPr>
              <w:ind w:left="100"/>
              <w:spacing w:after="0"/>
              <w:rPr>
                <w:sz w:val="20"/>
                <w:szCs w:val="20"/>
                <w:color w:val="auto"/>
              </w:rPr>
            </w:pPr>
            <w:r>
              <w:rPr>
                <w:rFonts w:ascii="Arial" w:cs="Arial" w:eastAsia="Arial" w:hAnsi="Arial"/>
                <w:sz w:val="18"/>
                <w:szCs w:val="18"/>
                <w:color w:val="auto"/>
              </w:rPr>
              <w:t>or the "Plan").</w:t>
            </w:r>
          </w:p>
        </w:tc>
        <w:tc>
          <w:tcPr>
            <w:tcW w:w="1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You will also be asked to consider and act upon such other business as may properly come before the Annual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Who is entitled to vote at the Annual Meeting?</w:t>
      </w:r>
    </w:p>
    <w:p>
      <w:pPr>
        <w:spacing w:after="0" w:line="231" w:lineRule="exact"/>
        <w:rPr>
          <w:sz w:val="20"/>
          <w:szCs w:val="20"/>
          <w:color w:val="auto"/>
        </w:rPr>
      </w:pPr>
    </w:p>
    <w:p>
      <w:pPr>
        <w:jc w:val="both"/>
        <w:ind w:right="20" w:firstLine="614"/>
        <w:spacing w:after="0" w:line="252" w:lineRule="auto"/>
        <w:rPr>
          <w:sz w:val="20"/>
          <w:szCs w:val="20"/>
          <w:color w:val="auto"/>
        </w:rPr>
      </w:pPr>
      <w:r>
        <w:rPr>
          <w:rFonts w:ascii="Arial" w:cs="Arial" w:eastAsia="Arial" w:hAnsi="Arial"/>
          <w:sz w:val="18"/>
          <w:szCs w:val="18"/>
          <w:color w:val="auto"/>
        </w:rPr>
        <w:t>Only holders of record of our common stock at the close of business on March 30, 2020, the record date for the Annual Meeting, are entitled to notice of, and to attend and vote at the Annual Meeting, or any postponements or adjournments of the meeting. At the close of business on the record date, 65,504,262 shares of our common stock were issued and outstanding.</w:t>
      </w:r>
    </w:p>
    <w:p>
      <w:pPr>
        <w:spacing w:after="0" w:line="2"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is the difference between a shareholder of record and a beneficial owner?</w:t>
      </w:r>
    </w:p>
    <w:p>
      <w:pPr>
        <w:spacing w:after="0" w:line="231" w:lineRule="exact"/>
        <w:rPr>
          <w:sz w:val="20"/>
          <w:szCs w:val="20"/>
          <w:color w:val="auto"/>
        </w:rPr>
      </w:pPr>
    </w:p>
    <w:p>
      <w:pPr>
        <w:ind w:right="160" w:firstLine="614"/>
        <w:spacing w:after="0" w:line="268" w:lineRule="auto"/>
        <w:rPr>
          <w:sz w:val="20"/>
          <w:szCs w:val="20"/>
          <w:color w:val="auto"/>
        </w:rPr>
      </w:pPr>
      <w:r>
        <w:rPr>
          <w:rFonts w:ascii="Arial" w:cs="Arial" w:eastAsia="Arial" w:hAnsi="Arial"/>
          <w:sz w:val="18"/>
          <w:szCs w:val="18"/>
          <w:color w:val="auto"/>
        </w:rPr>
        <w:t>If your shares are registered directly in your name with our transfer agent, EQ Shareowner Services, you are considered, with respect to those shares, the "shareholder of record."</w:t>
      </w:r>
    </w:p>
    <w:p>
      <w:pPr>
        <w:spacing w:after="0" w:line="186" w:lineRule="exact"/>
        <w:rPr>
          <w:sz w:val="20"/>
          <w:szCs w:val="20"/>
          <w:color w:val="auto"/>
        </w:rPr>
      </w:pPr>
    </w:p>
    <w:p>
      <w:pPr>
        <w:ind w:right="100" w:firstLine="614"/>
        <w:spacing w:after="0" w:line="254" w:lineRule="auto"/>
        <w:rPr>
          <w:sz w:val="20"/>
          <w:szCs w:val="20"/>
          <w:color w:val="auto"/>
        </w:rPr>
      </w:pPr>
      <w:r>
        <w:rPr>
          <w:rFonts w:ascii="Arial" w:cs="Arial" w:eastAsia="Arial" w:hAnsi="Arial"/>
          <w:sz w:val="18"/>
          <w:szCs w:val="18"/>
          <w:color w:val="auto"/>
        </w:rPr>
        <w:t>If your shares are held by a brokerage firm, bank, trustee, other agent or record holder, each sometimes referred to as a "nominee," you are considered the "beneficial owner" of shares held in street name. The Notice has been forwarded to you by your nominee who is considered, with respect to those shares, the shareholder of record. As the beneficial owner, you have the right to direct your nominee on how to vote your shares by following their instructions for voting by telephone or on the Internet or, if you specifically request a copy of the printed materials, you may use the voting instruction card included in such materials.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are the voting rights of our shareholders?</w:t>
      </w:r>
    </w:p>
    <w:p>
      <w:pPr>
        <w:spacing w:after="0" w:line="231" w:lineRule="exact"/>
        <w:rPr>
          <w:sz w:val="20"/>
          <w:szCs w:val="20"/>
          <w:color w:val="auto"/>
        </w:rPr>
      </w:pPr>
    </w:p>
    <w:p>
      <w:pPr>
        <w:ind w:right="240" w:firstLine="614"/>
        <w:spacing w:after="0" w:line="259" w:lineRule="auto"/>
        <w:rPr>
          <w:sz w:val="20"/>
          <w:szCs w:val="20"/>
          <w:color w:val="auto"/>
        </w:rPr>
      </w:pPr>
      <w:r>
        <w:rPr>
          <w:rFonts w:ascii="Arial" w:cs="Arial" w:eastAsia="Arial" w:hAnsi="Arial"/>
          <w:sz w:val="18"/>
          <w:szCs w:val="18"/>
          <w:color w:val="auto"/>
        </w:rPr>
        <w:t>Our shareholders have one vote per share of our common stock owned on the record date for each matter properly presented at the Annual Meeting. For example, if you owned 100 shares of our common stock at the close of business on March 30, 2020, you can cast 100 votes for each matter properly presented at the Annual Meeting. Holders of our common stock have no cumulative voting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constitutes a quorum?</w:t>
      </w:r>
    </w:p>
    <w:p>
      <w:pPr>
        <w:spacing w:after="0" w:line="231" w:lineRule="exact"/>
        <w:rPr>
          <w:sz w:val="20"/>
          <w:szCs w:val="20"/>
          <w:color w:val="auto"/>
        </w:rPr>
      </w:pPr>
    </w:p>
    <w:p>
      <w:pPr>
        <w:ind w:right="140" w:firstLine="605"/>
        <w:spacing w:after="0" w:line="256" w:lineRule="auto"/>
        <w:rPr>
          <w:sz w:val="20"/>
          <w:szCs w:val="20"/>
          <w:color w:val="auto"/>
        </w:rPr>
      </w:pPr>
      <w:r>
        <w:rPr>
          <w:rFonts w:ascii="Arial" w:cs="Arial" w:eastAsia="Arial" w:hAnsi="Arial"/>
          <w:sz w:val="18"/>
          <w:szCs w:val="18"/>
          <w:color w:val="auto"/>
        </w:rPr>
        <w:t>A quorum will be present at the Annual Meeting if holders of a majority of the issued and outstanding shares of our common stock on the record date are represented at the Annual Meeting in person or by proxy. If a quorum is not present at the Annual Meeting, we expect to postpone or adjourn the Annual Meeting to solicit additional proxies. Abstentions and broker non-votes (as described below) will be counted as shares present and entitled to vote for the purpose of determining the presence or absence of a quorum.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are "broker non-votes" and how are they treated?</w:t>
      </w:r>
    </w:p>
    <w:p>
      <w:pPr>
        <w:spacing w:after="0" w:line="231" w:lineRule="exact"/>
        <w:rPr>
          <w:sz w:val="20"/>
          <w:szCs w:val="20"/>
          <w:color w:val="auto"/>
        </w:rPr>
      </w:pPr>
    </w:p>
    <w:p>
      <w:pPr>
        <w:ind w:right="60" w:firstLine="605"/>
        <w:spacing w:after="0" w:line="254" w:lineRule="auto"/>
        <w:rPr>
          <w:sz w:val="20"/>
          <w:szCs w:val="20"/>
          <w:color w:val="auto"/>
        </w:rPr>
      </w:pPr>
      <w:r>
        <w:rPr>
          <w:rFonts w:ascii="Arial" w:cs="Arial" w:eastAsia="Arial" w:hAnsi="Arial"/>
          <w:sz w:val="18"/>
          <w:szCs w:val="18"/>
          <w:color w:val="auto"/>
        </w:rPr>
        <w:t>A "broker non-vote" occurs when a bank, broker, trustee, agent or other holder of record holding shares for a beneficial owner withholds its vote on a particular proposal because that holder does not have discretionary voting power for such proposal and has not received instructions from the beneficial owner. If your broker is the shareholder of record, your broker is required to vote your shares in accordance with your instructions. If you do not give instructions to your broker, the rules of the New York Stock Exchange, or "NYSE", allow brokers the discretionary authority to vote your shares with respect to "routine" matters but not "non-routine" matters.</w:t>
      </w:r>
    </w:p>
    <w:p>
      <w:pPr>
        <w:spacing w:after="0" w:line="201" w:lineRule="exact"/>
        <w:rPr>
          <w:sz w:val="20"/>
          <w:szCs w:val="20"/>
          <w:color w:val="auto"/>
        </w:rPr>
      </w:pPr>
    </w:p>
    <w:p>
      <w:pPr>
        <w:ind w:right="240" w:firstLine="611"/>
        <w:spacing w:after="0" w:line="331" w:lineRule="auto"/>
        <w:rPr>
          <w:sz w:val="20"/>
          <w:szCs w:val="20"/>
          <w:color w:val="auto"/>
        </w:rPr>
      </w:pPr>
      <w:r>
        <w:rPr>
          <w:rFonts w:ascii="Arial" w:cs="Arial" w:eastAsia="Arial" w:hAnsi="Arial"/>
          <w:sz w:val="16"/>
          <w:szCs w:val="16"/>
          <w:color w:val="auto"/>
        </w:rPr>
        <w:t>The table below sets forth, for each proposal on the ballot, whether a broker can exercise discretion and vote your shares absent your instructions. If they cannot, such broker non-vote will not be counted as a vote cast and will therefore have no impact on the approval of the proposal.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3"/>
              </w:rPr>
              <w:t>Can Brokers Vote</w:t>
            </w:r>
          </w:p>
        </w:tc>
      </w:tr>
      <w:tr>
        <w:trPr>
          <w:trHeight w:val="148"/>
        </w:trPr>
        <w:tc>
          <w:tcPr>
            <w:tcW w:w="11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5"/>
              </w:rPr>
              <w:t>Absent</w:t>
            </w:r>
          </w:p>
        </w:tc>
      </w:tr>
      <w:tr>
        <w:trPr>
          <w:trHeight w:val="161"/>
        </w:trPr>
        <w:tc>
          <w:tcPr>
            <w:tcW w:w="1120" w:type="dxa"/>
            <w:vAlign w:val="bottom"/>
          </w:tcPr>
          <w:p>
            <w:pPr>
              <w:spacing w:after="0"/>
              <w:rPr>
                <w:sz w:val="14"/>
                <w:szCs w:val="14"/>
                <w:color w:val="auto"/>
              </w:rPr>
            </w:pPr>
          </w:p>
        </w:tc>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Proposal</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Instructions?</w:t>
            </w:r>
          </w:p>
        </w:tc>
        <w:tc>
          <w:tcPr>
            <w:tcW w:w="1140" w:type="dxa"/>
            <w:vAlign w:val="bottom"/>
          </w:tcPr>
          <w:p>
            <w:pPr>
              <w:spacing w:after="0"/>
              <w:rPr>
                <w:sz w:val="14"/>
                <w:szCs w:val="14"/>
                <w:color w:val="auto"/>
              </w:rPr>
            </w:pPr>
          </w:p>
        </w:tc>
      </w:tr>
      <w:tr>
        <w:trPr>
          <w:trHeight w:val="209"/>
        </w:trPr>
        <w:tc>
          <w:tcPr>
            <w:tcW w:w="1120" w:type="dxa"/>
            <w:vAlign w:val="bottom"/>
          </w:tcPr>
          <w:p>
            <w:pPr>
              <w:spacing w:after="0"/>
              <w:rPr>
                <w:sz w:val="18"/>
                <w:szCs w:val="18"/>
                <w:color w:val="auto"/>
              </w:rPr>
            </w:pPr>
          </w:p>
        </w:tc>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Election of Directors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Non-Binding, Advisory Vote on Executive Compensation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Ratification of Independent Registered Certified Public Accounting Firm</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Approval of the 2020 Omnibus Plan</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9"/>
                <w:szCs w:val="19"/>
                <w:color w:val="auto"/>
              </w:rPr>
            </w:pPr>
          </w:p>
        </w:tc>
      </w:tr>
      <w:tr>
        <w:trPr>
          <w:trHeight w:val="475"/>
        </w:trPr>
        <w:tc>
          <w:tcPr>
            <w:tcW w:w="1120" w:type="dxa"/>
            <w:vAlign w:val="bottom"/>
          </w:tcPr>
          <w:p>
            <w:pPr>
              <w:spacing w:after="0"/>
              <w:rPr>
                <w:sz w:val="24"/>
                <w:szCs w:val="24"/>
                <w:color w:val="auto"/>
              </w:rPr>
            </w:pPr>
          </w:p>
        </w:tc>
        <w:tc>
          <w:tcPr>
            <w:tcW w:w="7860" w:type="dxa"/>
            <w:vAlign w:val="bottom"/>
            <w:gridSpan w:val="2"/>
          </w:tcPr>
          <w:p>
            <w:pPr>
              <w:ind w:left="5320"/>
              <w:spacing w:after="0"/>
              <w:rPr>
                <w:sz w:val="20"/>
                <w:szCs w:val="20"/>
                <w:color w:val="auto"/>
              </w:rPr>
            </w:pPr>
            <w:r>
              <w:rPr>
                <w:rFonts w:ascii="Arial" w:cs="Arial" w:eastAsia="Arial" w:hAnsi="Arial"/>
                <w:sz w:val="18"/>
                <w:szCs w:val="18"/>
                <w:b w:val="1"/>
                <w:bCs w:val="1"/>
                <w:color w:val="0048E0"/>
                <w:w w:val="89"/>
              </w:rPr>
              <w:t>World Fuel Services Corporation</w:t>
            </w:r>
          </w:p>
        </w:tc>
        <w:tc>
          <w:tcPr>
            <w:tcW w:w="2260" w:type="dxa"/>
            <w:vAlign w:val="bottom"/>
            <w:gridSpan w:val="2"/>
          </w:tcPr>
          <w:p>
            <w:pPr>
              <w:ind w:left="180"/>
              <w:spacing w:after="0"/>
              <w:rPr>
                <w:sz w:val="20"/>
                <w:szCs w:val="20"/>
                <w:color w:val="auto"/>
              </w:rPr>
            </w:pPr>
            <w:r>
              <w:rPr>
                <w:rFonts w:ascii="Arial" w:cs="Arial" w:eastAsia="Arial" w:hAnsi="Arial"/>
                <w:sz w:val="35"/>
                <w:szCs w:val="35"/>
                <w:b w:val="1"/>
                <w:bCs w:val="1"/>
                <w:color w:val="auto"/>
                <w:w w:val="95"/>
                <w:vertAlign w:val="subscript"/>
              </w:rPr>
              <w:t>|</w:t>
            </w:r>
            <w:r>
              <w:rPr>
                <w:rFonts w:ascii="Arial" w:cs="Arial" w:eastAsia="Arial" w:hAnsi="Arial"/>
                <w:sz w:val="18"/>
                <w:szCs w:val="18"/>
                <w:color w:val="auto"/>
                <w:w w:val="95"/>
              </w:rPr>
              <w:t xml:space="preserve">  2020 Proxy Statement  3</w:t>
            </w:r>
          </w:p>
        </w:tc>
      </w:tr>
      <w:tr>
        <w:trPr>
          <w:trHeight w:val="177"/>
        </w:trPr>
        <w:tc>
          <w:tcPr>
            <w:tcW w:w="1120" w:type="dxa"/>
            <w:vAlign w:val="bottom"/>
            <w:tcBorders>
              <w:bottom w:val="single" w:sz="8" w:color="808080"/>
            </w:tcBorders>
          </w:tcPr>
          <w:p>
            <w:pPr>
              <w:spacing w:after="0"/>
              <w:rPr>
                <w:sz w:val="15"/>
                <w:szCs w:val="15"/>
                <w:color w:val="auto"/>
              </w:rPr>
            </w:pPr>
          </w:p>
        </w:tc>
        <w:tc>
          <w:tcPr>
            <w:tcW w:w="770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112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14"/>
        <w:spacing w:after="0" w:line="306" w:lineRule="auto"/>
        <w:rPr>
          <w:sz w:val="20"/>
          <w:szCs w:val="20"/>
          <w:color w:val="auto"/>
        </w:rPr>
      </w:pPr>
      <w:r>
        <w:rPr>
          <w:rFonts w:ascii="Arial" w:cs="Arial" w:eastAsia="Arial" w:hAnsi="Arial"/>
          <w:sz w:val="16"/>
          <w:szCs w:val="16"/>
          <w:color w:val="auto"/>
        </w:rPr>
        <w:t>If other matters are properly brought before the Annual Meeting and they are not considered routine under the applicable NYSE rules, shares held by a bank, broker or other holder of record holding shares for a beneficial owner will not be voted on such non-routine matters by that holder unless that holder has received voting instructions. As stated above, broker non-votes are counted as present for the purpose of determining whether a quorum is present.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How are abstentions treated?</w:t>
      </w:r>
    </w:p>
    <w:p>
      <w:pPr>
        <w:spacing w:after="0" w:line="231" w:lineRule="exact"/>
        <w:rPr>
          <w:sz w:val="20"/>
          <w:szCs w:val="20"/>
          <w:color w:val="auto"/>
        </w:rPr>
      </w:pPr>
    </w:p>
    <w:p>
      <w:pPr>
        <w:ind w:right="60" w:firstLine="605"/>
        <w:spacing w:after="0" w:line="256" w:lineRule="auto"/>
        <w:rPr>
          <w:sz w:val="20"/>
          <w:szCs w:val="20"/>
          <w:color w:val="auto"/>
        </w:rPr>
      </w:pPr>
      <w:r>
        <w:rPr>
          <w:rFonts w:ascii="Arial" w:cs="Arial" w:eastAsia="Arial" w:hAnsi="Arial"/>
          <w:sz w:val="18"/>
          <w:szCs w:val="18"/>
          <w:color w:val="auto"/>
        </w:rPr>
        <w:t>Abstentions will not be counted as votes cast in the final tally of votes with regard to Proposals 1, 2 and 3. Therefore, abstentions will have no effect on the outcome of these proposals. Proposal 4 (Approval of the 2020 Omnibus Plan) is subject to NYSE shareholder approval rules which provide that abstentions are counted as votes cast. Therefore abstentions will have the effect of a vote "AGAINST" Proposal 4. As stated above, abstentions will be counted for the purpose of determining whether a quorum is present.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Will my shares be voted if I do not provide my proxy?</w:t>
      </w:r>
    </w:p>
    <w:p>
      <w:pPr>
        <w:spacing w:after="0" w:line="231" w:lineRule="exact"/>
        <w:rPr>
          <w:sz w:val="20"/>
          <w:szCs w:val="20"/>
          <w:color w:val="auto"/>
        </w:rPr>
      </w:pPr>
    </w:p>
    <w:p>
      <w:pPr>
        <w:ind w:right="20" w:firstLine="614"/>
        <w:spacing w:after="0" w:line="298" w:lineRule="auto"/>
        <w:rPr>
          <w:sz w:val="20"/>
          <w:szCs w:val="20"/>
          <w:color w:val="auto"/>
        </w:rPr>
      </w:pPr>
      <w:r>
        <w:rPr>
          <w:rFonts w:ascii="Arial" w:cs="Arial" w:eastAsia="Arial" w:hAnsi="Arial"/>
          <w:sz w:val="16"/>
          <w:szCs w:val="16"/>
          <w:color w:val="auto"/>
        </w:rPr>
        <w:t>If your shares are held in the name of a bank, broker or other holder of record, they may be voted by the bank, broker or other holder of record with respect to "routine" matters (as described above under the caption "What are "broker non-votes" and how are they treated?") even if you do not give the bank, broker or other holder of record specific voting instructions. If you are a shareholder of record and hold your shares directly in your own name, your shares will not be voted unless you provide a proxy or fill out a written ballot in person at the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How do I vote?</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To Vote by Internet, Telephone or Mail</w:t>
      </w:r>
      <w:r>
        <w:rPr>
          <w:rFonts w:ascii="Arial" w:cs="Arial" w:eastAsia="Arial" w:hAnsi="Arial"/>
          <w:sz w:val="18"/>
          <w:szCs w:val="18"/>
          <w:color w:val="auto"/>
        </w:rPr>
        <w:t>:</w:t>
      </w:r>
    </w:p>
    <w:p>
      <w:pPr>
        <w:spacing w:after="0" w:line="225" w:lineRule="exact"/>
        <w:rPr>
          <w:sz w:val="20"/>
          <w:szCs w:val="20"/>
          <w:color w:val="auto"/>
        </w:rPr>
      </w:pPr>
    </w:p>
    <w:p>
      <w:pPr>
        <w:ind w:right="40" w:firstLine="608"/>
        <w:spacing w:after="0" w:line="268" w:lineRule="auto"/>
        <w:rPr>
          <w:sz w:val="20"/>
          <w:szCs w:val="20"/>
          <w:color w:val="auto"/>
        </w:rPr>
      </w:pPr>
      <w:r>
        <w:rPr>
          <w:rFonts w:ascii="Arial" w:cs="Arial" w:eastAsia="Arial" w:hAnsi="Arial"/>
          <w:sz w:val="18"/>
          <w:szCs w:val="18"/>
          <w:color w:val="auto"/>
        </w:rPr>
        <w:t>You can vote by proxy whether or not you attend the Annual Meeting. To vote by proxy, you have a choice of voting over the Internet, by telephone or by using a traditional proxy card.</w:t>
      </w:r>
    </w:p>
    <w:p>
      <w:pPr>
        <w:spacing w:after="0" w:line="199" w:lineRule="exact"/>
        <w:rPr>
          <w:sz w:val="20"/>
          <w:szCs w:val="20"/>
          <w:color w:val="auto"/>
        </w:rPr>
      </w:pPr>
    </w:p>
    <w:p>
      <w:pPr>
        <w:ind w:left="1080" w:right="2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by Internet, go to www.proxyvote.com and follow the instructions there. You will need the 12-digit control number included on your proxy card, voter instruction form or Notice.</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by telephone, dial the number listed on your proxy card, your voter instruction form or Notice. You will need the 12-digit control number included on your proxy card, voter instruction form or Notice.</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received a Notice and wish to vote by traditional proxy card, you can request a full set of materials at no charge through one of the following methods: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2160" w:hanging="532"/>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By Internet: by visiting www.proxyvote.com</w:t>
      </w:r>
    </w:p>
    <w:p>
      <w:pPr>
        <w:spacing w:after="0" w:line="252" w:lineRule="exact"/>
        <w:rPr>
          <w:rFonts w:ascii="Arial" w:cs="Arial" w:eastAsia="Arial" w:hAnsi="Arial"/>
          <w:sz w:val="18"/>
          <w:szCs w:val="18"/>
          <w:color w:val="auto"/>
        </w:rPr>
      </w:pPr>
    </w:p>
    <w:p>
      <w:pPr>
        <w:ind w:left="2160" w:hanging="532"/>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By phone: by using the phone number listed on the Notice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To reduce our administrative and postage costs, we ask that you vote through the Internet or by telephone, both of which are available 24 hours a day.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ensure that your vote is counted, please remember to submit your vote by 11:59 p.m. Eastern Time on Thursday, May 21, 2020.</w:t>
      </w:r>
    </w:p>
    <w:p>
      <w:pPr>
        <w:spacing w:after="0" w:line="213"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To Vote in Person</w:t>
      </w:r>
      <w:r>
        <w:rPr>
          <w:rFonts w:ascii="Arial" w:cs="Arial" w:eastAsia="Arial" w:hAnsi="Arial"/>
          <w:sz w:val="18"/>
          <w:szCs w:val="18"/>
          <w:color w:val="auto"/>
        </w:rPr>
        <w: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If your shares are registered in your name, you must bring a valid photo identification and deliver your completed proxy card or ballot in person.</w:t>
      </w:r>
    </w:p>
    <w:p>
      <w:pPr>
        <w:spacing w:after="0" w:line="248" w:lineRule="exact"/>
        <w:rPr>
          <w:sz w:val="20"/>
          <w:szCs w:val="20"/>
          <w:color w:val="auto"/>
        </w:rPr>
      </w:pPr>
    </w:p>
    <w:p>
      <w:pPr>
        <w:ind w:right="120" w:firstLine="614"/>
        <w:spacing w:after="0" w:line="331" w:lineRule="auto"/>
        <w:rPr>
          <w:sz w:val="20"/>
          <w:szCs w:val="20"/>
          <w:color w:val="auto"/>
        </w:rPr>
      </w:pPr>
      <w:r>
        <w:rPr>
          <w:rFonts w:ascii="Arial" w:cs="Arial" w:eastAsia="Arial" w:hAnsi="Arial"/>
          <w:sz w:val="16"/>
          <w:szCs w:val="16"/>
          <w:color w:val="auto"/>
        </w:rPr>
        <w:t>If you hold your shares in "street name," you will need to bring a valid photo identification to the Annual Meeting and obtain a legal proxy from your bank, broker or other nominee to vote the shares that are held for your benefit, attach such legal proxy to your completed proxy card and deliver it in person.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If I plan to attend the Annual Meeting, should I still vote by proxy?</w:t>
      </w:r>
    </w:p>
    <w:p>
      <w:pPr>
        <w:spacing w:after="0" w:line="231" w:lineRule="exact"/>
        <w:rPr>
          <w:sz w:val="20"/>
          <w:szCs w:val="20"/>
          <w:color w:val="auto"/>
        </w:rPr>
      </w:pPr>
    </w:p>
    <w:p>
      <w:pPr>
        <w:ind w:right="80" w:firstLine="608"/>
        <w:spacing w:after="0" w:line="268" w:lineRule="auto"/>
        <w:rPr>
          <w:sz w:val="20"/>
          <w:szCs w:val="20"/>
          <w:color w:val="auto"/>
        </w:rPr>
      </w:pPr>
      <w:r>
        <w:rPr>
          <w:rFonts w:ascii="Arial" w:cs="Arial" w:eastAsia="Arial" w:hAnsi="Arial"/>
          <w:sz w:val="18"/>
          <w:szCs w:val="18"/>
          <w:color w:val="auto"/>
        </w:rPr>
        <w:t>Yes. Casting your vote in advance does not affect your right to attend the Annual Meeting. If you vote in advance and also attend the Annual Meeting, you do not need to vote again at the Annual Meeting unless you want to change your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vote is required for the proposals?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Proposal</w:t>
            </w:r>
          </w:p>
        </w:tc>
        <w:tc>
          <w:tcPr>
            <w:tcW w:w="360" w:type="dxa"/>
            <w:vAlign w:val="bottom"/>
          </w:tcPr>
          <w:p>
            <w:pPr>
              <w:spacing w:after="0"/>
              <w:rPr>
                <w:sz w:val="14"/>
                <w:szCs w:val="14"/>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Description of Votes Needed</w:t>
            </w:r>
          </w:p>
        </w:tc>
      </w:tr>
      <w:tr>
        <w:trPr>
          <w:trHeight w:val="201"/>
        </w:trPr>
        <w:tc>
          <w:tcPr>
            <w:tcW w:w="1120" w:type="dxa"/>
            <w:vAlign w:val="bottom"/>
          </w:tcPr>
          <w:p>
            <w:pPr>
              <w:spacing w:after="0"/>
              <w:rPr>
                <w:sz w:val="17"/>
                <w:szCs w:val="17"/>
                <w:color w:val="auto"/>
              </w:rPr>
            </w:pPr>
          </w:p>
        </w:tc>
        <w:tc>
          <w:tcPr>
            <w:tcW w:w="4320" w:type="dxa"/>
            <w:vAlign w:val="bottom"/>
          </w:tcPr>
          <w:p>
            <w:pPr>
              <w:ind w:left="20"/>
              <w:spacing w:after="0" w:line="201" w:lineRule="exact"/>
              <w:rPr>
                <w:sz w:val="20"/>
                <w:szCs w:val="20"/>
                <w:color w:val="auto"/>
              </w:rPr>
            </w:pPr>
            <w:r>
              <w:rPr>
                <w:rFonts w:ascii="Arial" w:cs="Arial" w:eastAsia="Arial" w:hAnsi="Arial"/>
                <w:sz w:val="18"/>
                <w:szCs w:val="18"/>
                <w:color w:val="auto"/>
              </w:rPr>
              <w:t>Election of Directors</w:t>
            </w:r>
          </w:p>
        </w:tc>
        <w:tc>
          <w:tcPr>
            <w:tcW w:w="36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w w:val="91"/>
              </w:rPr>
              <w:t>The eight nominees for election as directors will be elected</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0"/>
              </w:rPr>
              <w:t>by a "plurality" of the votes cast at the Annual Meeting. This</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7"/>
              </w:rPr>
              <w:t>means that the eight nominees who receive the highest</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number of "FOR" votes will be elected as directors, even if</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1"/>
              </w:rPr>
              <w:t>those nominees do not receive a majority of the votes cast.</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0"/>
              </w:rPr>
              <w:t>"Withhold" votes will not be counted as votes cast either for</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3"/>
              </w:rPr>
              <w:t>or against the election of a director and will have no effect</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1"/>
              </w:rPr>
              <w:t>on the results of the election of directors, although they will</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be considered present for the purpose of determining the</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0"/>
              </w:rPr>
              <w:t>presence of a quorum. See page 24 of this proxy statement</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8"/>
              </w:rPr>
              <w:t>for additional information about our director resignation</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policy in uncontested elections.</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The affirmative vote of a majority of the votes cast on the</w:t>
            </w:r>
          </w:p>
        </w:tc>
      </w:tr>
      <w:tr>
        <w:trPr>
          <w:trHeight w:val="216"/>
        </w:trPr>
        <w:tc>
          <w:tcPr>
            <w:tcW w:w="11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w w:val="91"/>
              </w:rPr>
              <w:t>Non-Binding, Advisory Vote on Executive Compensation</w:t>
            </w: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6"/>
              </w:rPr>
              <w:t>proposal is required for the approval of the non-binding,</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9"/>
              </w:rPr>
              <w:t>advisory vote with respect to executive compensation.</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The affirmative vote of a majority of the votes cast on the</w:t>
            </w:r>
          </w:p>
        </w:tc>
      </w:tr>
      <w:tr>
        <w:trPr>
          <w:trHeight w:val="216"/>
        </w:trPr>
        <w:tc>
          <w:tcPr>
            <w:tcW w:w="11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w w:val="94"/>
              </w:rPr>
              <w:t>Ratification of Independent Registered Certified Public</w:t>
            </w: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0"/>
              </w:rPr>
              <w:t>proposal is required for the ratification of the appointment of</w:t>
            </w:r>
          </w:p>
        </w:tc>
      </w:tr>
      <w:tr>
        <w:trPr>
          <w:trHeight w:val="216"/>
        </w:trPr>
        <w:tc>
          <w:tcPr>
            <w:tcW w:w="11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Accounting Firm</w:t>
            </w: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5"/>
              </w:rPr>
              <w:t>PwC as our independent auditor for the 2020 fiscal year.</w:t>
            </w:r>
          </w:p>
        </w:tc>
      </w:tr>
      <w:tr>
        <w:trPr>
          <w:trHeight w:val="216"/>
        </w:trPr>
        <w:tc>
          <w:tcPr>
            <w:tcW w:w="1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The affirmative vote of a majority of the votes cast on the</w:t>
            </w:r>
          </w:p>
        </w:tc>
      </w:tr>
      <w:tr>
        <w:trPr>
          <w:trHeight w:val="216"/>
        </w:trPr>
        <w:tc>
          <w:tcPr>
            <w:tcW w:w="11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Approval of the 2020 Omnibus Plan</w:t>
            </w:r>
          </w:p>
        </w:tc>
        <w:tc>
          <w:tcPr>
            <w:tcW w:w="3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proposal is required for the approval of the 2020 Omnibus</w:t>
            </w:r>
          </w:p>
        </w:tc>
      </w:tr>
      <w:tr>
        <w:trPr>
          <w:trHeight w:val="222"/>
        </w:trPr>
        <w:tc>
          <w:tcPr>
            <w:tcW w:w="11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Plan.</w:t>
            </w: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b w:val="1"/>
                <w:bCs w:val="1"/>
                <w:color w:val="0048E0"/>
              </w:rPr>
              <w:t>How will my proxy holder vote?</w:t>
            </w:r>
          </w:p>
        </w:tc>
        <w:tc>
          <w:tcPr>
            <w:tcW w:w="360" w:type="dxa"/>
            <w:vAlign w:val="bottom"/>
          </w:tcPr>
          <w:p>
            <w:pPr>
              <w:spacing w:after="0"/>
              <w:rPr>
                <w:sz w:val="24"/>
                <w:szCs w:val="24"/>
                <w:color w:val="auto"/>
              </w:rPr>
            </w:pPr>
          </w:p>
        </w:tc>
        <w:tc>
          <w:tcPr>
            <w:tcW w:w="4300" w:type="dxa"/>
            <w:vAlign w:val="bottom"/>
          </w:tcPr>
          <w:p>
            <w:pPr>
              <w:spacing w:after="0"/>
              <w:rPr>
                <w:sz w:val="24"/>
                <w:szCs w:val="24"/>
                <w:color w:val="auto"/>
              </w:rPr>
            </w:pPr>
          </w:p>
        </w:tc>
      </w:tr>
    </w:tbl>
    <w:p>
      <w:pPr>
        <w:spacing w:after="0" w:line="210" w:lineRule="exact"/>
        <w:rPr>
          <w:sz w:val="20"/>
          <w:szCs w:val="20"/>
          <w:color w:val="auto"/>
        </w:rPr>
      </w:pPr>
    </w:p>
    <w:p>
      <w:pPr>
        <w:ind w:right="20" w:firstLine="611"/>
        <w:spacing w:after="0" w:line="252" w:lineRule="auto"/>
        <w:rPr>
          <w:sz w:val="20"/>
          <w:szCs w:val="20"/>
          <w:color w:val="auto"/>
        </w:rPr>
      </w:pPr>
      <w:r>
        <w:rPr>
          <w:rFonts w:ascii="Arial" w:cs="Arial" w:eastAsia="Arial" w:hAnsi="Arial"/>
          <w:sz w:val="18"/>
          <w:szCs w:val="18"/>
          <w:color w:val="auto"/>
        </w:rPr>
        <w:t>The enclosed proxy designates Michael J. Kasbar, our Chairman, President and Chief Executive Officer and Paul H. Stebbins, Director and Chairman Emeritus, to hold your proxy and vote your shares. Messrs. Kasbar and Stebbins will vote all shares of our common stock represented by properly executed proxies received in time for the Annual Meeting in the manner specified by the holders of those shares. Messrs. Kasbar and Stebbins intend to vote all shares of our common stock represented</w:t>
      </w:r>
    </w:p>
    <w:p>
      <w:pPr>
        <w:spacing w:after="0" w:line="1"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proxies that are properly executed by the record holder but that otherwise do not contain voting instructions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Proposal</w:t>
            </w:r>
          </w:p>
        </w:tc>
        <w:tc>
          <w:tcPr>
            <w:tcW w:w="2380" w:type="dxa"/>
            <w:vAlign w:val="bottom"/>
            <w:vMerge w:val="restart"/>
          </w:tcPr>
          <w:p>
            <w:pPr>
              <w:jc w:val="center"/>
              <w:ind w:left="152"/>
              <w:spacing w:after="0"/>
              <w:rPr>
                <w:sz w:val="20"/>
                <w:szCs w:val="20"/>
                <w:color w:val="auto"/>
              </w:rPr>
            </w:pPr>
            <w:r>
              <w:rPr>
                <w:rFonts w:ascii="Arial" w:cs="Arial" w:eastAsia="Arial" w:hAnsi="Arial"/>
                <w:sz w:val="18"/>
                <w:szCs w:val="18"/>
                <w:b w:val="1"/>
                <w:bCs w:val="1"/>
                <w:color w:val="auto"/>
                <w:w w:val="89"/>
              </w:rPr>
              <w:t>FOR each Director Nominee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Election of Directors</w:t>
            </w:r>
          </w:p>
        </w:tc>
        <w:tc>
          <w:tcPr>
            <w:tcW w:w="2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2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Non-Binding, Advisory Vote on Executive Compensation</w:t>
            </w:r>
          </w:p>
        </w:tc>
        <w:tc>
          <w:tcPr>
            <w:tcW w:w="2380" w:type="dxa"/>
            <w:vAlign w:val="bottom"/>
          </w:tcPr>
          <w:p>
            <w:pPr>
              <w:jc w:val="center"/>
              <w:ind w:left="152"/>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432"/>
        </w:trPr>
        <w:tc>
          <w:tcPr>
            <w:tcW w:w="22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Ratification of Independent Registered Certified Public Accounting Firm</w:t>
            </w:r>
          </w:p>
        </w:tc>
        <w:tc>
          <w:tcPr>
            <w:tcW w:w="2380" w:type="dxa"/>
            <w:vAlign w:val="bottom"/>
          </w:tcPr>
          <w:p>
            <w:pPr>
              <w:jc w:val="center"/>
              <w:ind w:left="152"/>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432"/>
        </w:trPr>
        <w:tc>
          <w:tcPr>
            <w:tcW w:w="22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Approval of 2020 Omnibus Plan</w:t>
            </w:r>
          </w:p>
        </w:tc>
        <w:tc>
          <w:tcPr>
            <w:tcW w:w="2380" w:type="dxa"/>
            <w:vAlign w:val="bottom"/>
          </w:tcPr>
          <w:p>
            <w:pPr>
              <w:jc w:val="center"/>
              <w:ind w:left="152"/>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432"/>
        </w:trPr>
        <w:tc>
          <w:tcPr>
            <w:tcW w:w="8760" w:type="dxa"/>
            <w:vAlign w:val="bottom"/>
            <w:gridSpan w:val="2"/>
          </w:tcPr>
          <w:p>
            <w:pPr>
              <w:spacing w:after="0"/>
              <w:rPr>
                <w:sz w:val="20"/>
                <w:szCs w:val="20"/>
                <w:color w:val="auto"/>
              </w:rPr>
            </w:pPr>
            <w:r>
              <w:rPr>
                <w:rFonts w:ascii="Arial" w:cs="Arial" w:eastAsia="Arial" w:hAnsi="Arial"/>
                <w:sz w:val="18"/>
                <w:szCs w:val="18"/>
                <w:b w:val="1"/>
                <w:bCs w:val="1"/>
                <w:color w:val="0048E0"/>
              </w:rPr>
              <w:t>What happens if additional matters are presented at the Annual Meeting?</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60" w:firstLine="614"/>
        <w:spacing w:after="0" w:line="259" w:lineRule="auto"/>
        <w:rPr>
          <w:sz w:val="20"/>
          <w:szCs w:val="20"/>
          <w:color w:val="auto"/>
        </w:rPr>
      </w:pPr>
      <w:r>
        <w:rPr>
          <w:rFonts w:ascii="Arial" w:cs="Arial" w:eastAsia="Arial" w:hAnsi="Arial"/>
          <w:sz w:val="18"/>
          <w:szCs w:val="18"/>
          <w:color w:val="auto"/>
        </w:rPr>
        <w:t>Other than the items of business described above, we are not aware of any other business to be acted upon at the Annual Meeting. If you grant a proxy to the proxy holders named in the attached proxy card, such persons will vote in accordance with the recommendation of our Board, "FOR" or "AGAINST" such other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Can I change my vote after I have voted?</w:t>
      </w:r>
    </w:p>
    <w:p>
      <w:pPr>
        <w:spacing w:after="0" w:line="231" w:lineRule="exact"/>
        <w:rPr>
          <w:sz w:val="20"/>
          <w:szCs w:val="20"/>
          <w:color w:val="auto"/>
        </w:rPr>
      </w:pPr>
    </w:p>
    <w:p>
      <w:pPr>
        <w:ind w:right="80" w:firstLine="611"/>
        <w:spacing w:after="0" w:line="298" w:lineRule="auto"/>
        <w:rPr>
          <w:sz w:val="20"/>
          <w:szCs w:val="20"/>
          <w:color w:val="auto"/>
        </w:rPr>
      </w:pPr>
      <w:r>
        <w:rPr>
          <w:rFonts w:ascii="Arial" w:cs="Arial" w:eastAsia="Arial" w:hAnsi="Arial"/>
          <w:sz w:val="16"/>
          <w:szCs w:val="16"/>
          <w:color w:val="auto"/>
        </w:rPr>
        <w:t>Voting by telephone, over the Internet or by mailing a proxy card does not preclude a shareholder from voting in person at the Annual Meeting. A shareholder may revoke a proxy, whether submitted via telephone, the Internet or mail, at any time prior to its exercise by (i) filing with our Corporate Secretary a duly executed revocation of proxy, (ii) properly submitting, either by telephone, mail or Internet, a proxy to our Corporate Secretary bearing a later date or (iii) appearing at the Annual Meeting and voting in person. Attendance at the meeting will not itself constitute revocation of a proxy.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What do I need to bring with me in order to attend the Annual Meeting?</w:t>
      </w:r>
    </w:p>
    <w:p>
      <w:pPr>
        <w:spacing w:after="0" w:line="231" w:lineRule="exact"/>
        <w:rPr>
          <w:sz w:val="20"/>
          <w:szCs w:val="20"/>
          <w:color w:val="auto"/>
        </w:rPr>
      </w:pPr>
    </w:p>
    <w:p>
      <w:pPr>
        <w:ind w:right="820" w:firstLine="614"/>
        <w:spacing w:after="0" w:line="331" w:lineRule="auto"/>
        <w:rPr>
          <w:sz w:val="20"/>
          <w:szCs w:val="20"/>
          <w:color w:val="auto"/>
        </w:rPr>
      </w:pPr>
      <w:r>
        <w:rPr>
          <w:rFonts w:ascii="Arial" w:cs="Arial" w:eastAsia="Arial" w:hAnsi="Arial"/>
          <w:sz w:val="16"/>
          <w:szCs w:val="16"/>
          <w:color w:val="auto"/>
        </w:rPr>
        <w:t>If you are a shareholder of record, you will need to bring with you to the Annual Meeting any proxy card that is sent to you and valid photo identification. Otherwise, you will be admitted only upon other verification of record ownership at the admission counter.</w:t>
      </w:r>
    </w:p>
    <w:p>
      <w:pPr>
        <w:spacing w:after="0" w:line="141" w:lineRule="exact"/>
        <w:rPr>
          <w:sz w:val="20"/>
          <w:szCs w:val="20"/>
          <w:color w:val="auto"/>
        </w:rPr>
      </w:pPr>
    </w:p>
    <w:p>
      <w:pPr>
        <w:ind w:right="160" w:firstLine="614"/>
        <w:spacing w:after="0" w:line="294" w:lineRule="auto"/>
        <w:rPr>
          <w:sz w:val="20"/>
          <w:szCs w:val="20"/>
          <w:color w:val="auto"/>
        </w:rPr>
      </w:pPr>
      <w:r>
        <w:rPr>
          <w:rFonts w:ascii="Arial" w:cs="Arial" w:eastAsia="Arial" w:hAnsi="Arial"/>
          <w:sz w:val="16"/>
          <w:szCs w:val="16"/>
          <w:color w:val="auto"/>
        </w:rPr>
        <w:t xml:space="preserve">If you are the beneficial owner of shares held in street name, bring with you to the Annual Meeting your most recent brokerage statement or a letter from your bank, broker, trustee, agent or other record holder indicating that you beneficially owned shares of our common stock on March 30, 2020 and valid photo identification. We can use that to verify your beneficial ownership of common stock and admit you to the Annual Meeting. </w:t>
      </w:r>
      <w:r>
        <w:rPr>
          <w:rFonts w:ascii="Arial" w:cs="Arial" w:eastAsia="Arial" w:hAnsi="Arial"/>
          <w:sz w:val="16"/>
          <w:szCs w:val="16"/>
          <w:i w:val="1"/>
          <w:iCs w:val="1"/>
          <w:color w:val="auto"/>
        </w:rPr>
        <w:t>If you intend to vote at the</w:t>
      </w:r>
      <w:r>
        <w:rPr>
          <w:rFonts w:ascii="Arial" w:cs="Arial" w:eastAsia="Arial" w:hAnsi="Arial"/>
          <w:sz w:val="16"/>
          <w:szCs w:val="16"/>
          <w:color w:val="auto"/>
        </w:rPr>
        <w:t xml:space="preserve"> </w:t>
      </w:r>
      <w:r>
        <w:rPr>
          <w:rFonts w:ascii="Arial" w:cs="Arial" w:eastAsia="Arial" w:hAnsi="Arial"/>
          <w:sz w:val="16"/>
          <w:szCs w:val="16"/>
          <w:i w:val="1"/>
          <w:iCs w:val="1"/>
          <w:color w:val="auto"/>
        </w:rPr>
        <w:t>Annual Meeting, you also will need to bring to the Annual Meeting a legal proxy from your bank, broker, trustee, agent or other holder of record that authorizes you to vote the shares that the record holder holds for you in its name.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Where can I find voting results of the Annual Meeting?</w:t>
      </w:r>
    </w:p>
    <w:p>
      <w:pPr>
        <w:spacing w:after="0" w:line="231"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We will announce the results for the proposals voted upon at the Annual Meeting and publish final detailed voting results in a Form 8-K filed with the SEC within four business days after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Who should I call with other questions?</w:t>
      </w:r>
    </w:p>
    <w:p>
      <w:pPr>
        <w:spacing w:after="0" w:line="231" w:lineRule="exact"/>
        <w:rPr>
          <w:sz w:val="20"/>
          <w:szCs w:val="20"/>
          <w:color w:val="auto"/>
        </w:rPr>
      </w:pPr>
    </w:p>
    <w:p>
      <w:pPr>
        <w:ind w:right="480" w:firstLine="614"/>
        <w:spacing w:after="0" w:line="252" w:lineRule="auto"/>
        <w:rPr>
          <w:sz w:val="20"/>
          <w:szCs w:val="20"/>
          <w:color w:val="auto"/>
        </w:rPr>
      </w:pPr>
      <w:r>
        <w:rPr>
          <w:rFonts w:ascii="Arial" w:cs="Arial" w:eastAsia="Arial" w:hAnsi="Arial"/>
          <w:sz w:val="18"/>
          <w:szCs w:val="18"/>
          <w:color w:val="auto"/>
        </w:rPr>
        <w:t>If you have additional questions about this proxy statement or the Annual Meeting or would like additional copies of this proxy statement or our annual report, please contact: World Fuel Services Corporation at 9800 Northwest 41st Street, Miami, Florida 33178, Attention: Corporate Secretary, Telephone: (305) 428-8000.</w:t>
      </w:r>
    </w:p>
    <w:p>
      <w:pPr>
        <w:spacing w:after="0" w:line="2"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0048E0"/>
        </w:rPr>
      </w:pPr>
      <w:r>
        <w:rPr>
          <w:rFonts w:ascii="Arial" w:cs="Arial" w:eastAsia="Arial" w:hAnsi="Arial"/>
          <w:sz w:val="18"/>
          <w:szCs w:val="18"/>
          <w:b w:val="1"/>
          <w:bCs w:val="1"/>
          <w:color w:val="0048E0"/>
        </w:rPr>
        <w:t>PROPOSAL NO.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right="80" w:firstLine="614"/>
        <w:spacing w:after="0" w:line="259" w:lineRule="auto"/>
        <w:rPr>
          <w:sz w:val="20"/>
          <w:szCs w:val="20"/>
          <w:color w:val="auto"/>
        </w:rPr>
      </w:pPr>
      <w:r>
        <w:rPr>
          <w:rFonts w:ascii="Arial" w:cs="Arial" w:eastAsia="Arial" w:hAnsi="Arial"/>
          <w:sz w:val="18"/>
          <w:szCs w:val="18"/>
          <w:color w:val="auto"/>
        </w:rPr>
        <w:t>Eight individuals have been nominated to serve as our directors for the ensuing year and until their successors shall have been duly elected and qualified. All nominees are presently directors. One of our existing independent directors, Mr. Stephen J. Gold will not be standing for re-election to the Board following the Annual Meeting.</w:t>
      </w:r>
    </w:p>
    <w:p>
      <w:pPr>
        <w:spacing w:after="0" w:line="194" w:lineRule="exact"/>
        <w:rPr>
          <w:sz w:val="20"/>
          <w:szCs w:val="20"/>
          <w:color w:val="auto"/>
        </w:rPr>
      </w:pPr>
    </w:p>
    <w:p>
      <w:pPr>
        <w:ind w:right="80" w:firstLine="611"/>
        <w:spacing w:after="0" w:line="291" w:lineRule="auto"/>
        <w:rPr>
          <w:sz w:val="20"/>
          <w:szCs w:val="20"/>
          <w:color w:val="auto"/>
        </w:rPr>
      </w:pPr>
      <w:r>
        <w:rPr>
          <w:rFonts w:ascii="Arial" w:cs="Arial" w:eastAsia="Arial" w:hAnsi="Arial"/>
          <w:sz w:val="16"/>
          <w:szCs w:val="16"/>
          <w:color w:val="auto"/>
        </w:rPr>
        <w:t>The persons named as proxies in the accompanying proxy card have advised management that unless authority is withheld in the proxy, they intend to vote for the election of the individuals identified as nominees below. We do not contemplate that any nominee named below will be unable or will decline to serve. However, if any nominee is unable to serve or declines to serve, the persons named in the accompanying proxy card may vote for another person, or persons, in their discretion, unless our Board chooses to reduce the number of directors serving on the Board. In accordance with our By-Laws, the Board may consist of four to ten directors, and the Board may increase or decrease the number of directors by amending our By-Laws. The Board presently consists of nine directors and will be reduced to eight following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Director Nominees</w:t>
      </w:r>
    </w:p>
    <w:p>
      <w:pPr>
        <w:spacing w:after="0" w:line="231" w:lineRule="exact"/>
        <w:rPr>
          <w:sz w:val="20"/>
          <w:szCs w:val="20"/>
          <w:color w:val="auto"/>
        </w:rPr>
      </w:pPr>
    </w:p>
    <w:p>
      <w:pPr>
        <w:ind w:right="160" w:firstLine="611"/>
        <w:spacing w:after="0" w:line="294" w:lineRule="auto"/>
        <w:rPr>
          <w:sz w:val="20"/>
          <w:szCs w:val="20"/>
          <w:color w:val="auto"/>
        </w:rPr>
      </w:pPr>
      <w:r>
        <w:rPr>
          <w:rFonts w:ascii="Arial" w:cs="Arial" w:eastAsia="Arial" w:hAnsi="Arial"/>
          <w:sz w:val="16"/>
          <w:szCs w:val="16"/>
          <w:color w:val="auto"/>
        </w:rPr>
        <w:t>We believe that each of our nominees possesses the experience, skills and qualities to fully perform his or her duties as a director and to contribute to our success. In addition, each of our nominees is being nominated because they each possess the highest standards of personal integrity, are accomplished in their field, have an understanding of the interests and issues that are important to our shareholders and are able to dedicate sufficient time to fulfilling their obligations as a director. Our nominees as a group complement each other and each other's respective experiences, skills and qualities. For an additional discussion of the nomination process, see "Nominee Qualifications and the Nomination Process" beginning on page 22 of this proxy statement.</w:t>
      </w:r>
    </w:p>
    <w:p>
      <w:pPr>
        <w:spacing w:after="0" w:line="169" w:lineRule="exact"/>
        <w:rPr>
          <w:sz w:val="20"/>
          <w:szCs w:val="20"/>
          <w:color w:val="auto"/>
        </w:rPr>
      </w:pPr>
    </w:p>
    <w:p>
      <w:pPr>
        <w:jc w:val="both"/>
        <w:ind w:right="100" w:firstLine="611"/>
        <w:spacing w:after="0" w:line="259" w:lineRule="auto"/>
        <w:rPr>
          <w:sz w:val="20"/>
          <w:szCs w:val="20"/>
          <w:color w:val="auto"/>
        </w:rPr>
      </w:pPr>
      <w:r>
        <w:rPr>
          <w:rFonts w:ascii="Arial" w:cs="Arial" w:eastAsia="Arial" w:hAnsi="Arial"/>
          <w:sz w:val="18"/>
          <w:szCs w:val="18"/>
          <w:color w:val="auto"/>
        </w:rPr>
        <w:t>The following sets forth certain information with respect to each nominee standing for election to the Board. The biographies of each of the nominees and directors contain information regarding the individual's service as a director, business experience, and the qualifications, attributes or skills that led to the conclusion that the individual should serve as our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128270</wp:posOffset>
            </wp:positionV>
            <wp:extent cx="5700395" cy="428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0395" cy="428625"/>
                    </a:xfrm>
                    <a:prstGeom prst="rect">
                      <a:avLst/>
                    </a:prstGeom>
                    <a:noFill/>
                  </pic:spPr>
                </pic:pic>
              </a:graphicData>
            </a:graphic>
          </wp:anchor>
        </w:drawing>
      </w:r>
    </w:p>
    <w:p>
      <w:pPr>
        <w:spacing w:after="0" w:line="360" w:lineRule="exact"/>
        <w:rPr>
          <w:sz w:val="20"/>
          <w:szCs w:val="20"/>
          <w:color w:val="auto"/>
        </w:rPr>
      </w:pPr>
    </w:p>
    <w:p>
      <w:pPr>
        <w:ind w:left="1280"/>
        <w:spacing w:after="0"/>
        <w:tabs>
          <w:tab w:leader="none" w:pos="6660" w:val="left"/>
          <w:tab w:leader="none" w:pos="7680" w:val="left"/>
        </w:tabs>
        <w:rPr>
          <w:sz w:val="20"/>
          <w:szCs w:val="20"/>
          <w:color w:val="auto"/>
        </w:rPr>
      </w:pPr>
      <w:r>
        <w:rPr>
          <w:sz w:val="1"/>
          <w:szCs w:val="1"/>
          <w:color w:val="auto"/>
        </w:rPr>
        <w:drawing>
          <wp:inline distT="0" distB="0" distL="0" distR="0">
            <wp:extent cx="102870" cy="29146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291465"/>
                    </a:xfrm>
                    <a:prstGeom prst="rect">
                      <a:avLst/>
                    </a:prstGeom>
                    <a:noFill/>
                    <a:ln>
                      <a:noFill/>
                    </a:ln>
                  </pic:spPr>
                </pic:pic>
              </a:graphicData>
            </a:graphic>
          </wp:inline>
        </w:drawing>
      </w:r>
      <w:r>
        <w:rPr>
          <w:rFonts w:ascii="Arial" w:cs="Arial" w:eastAsia="Arial" w:hAnsi="Arial"/>
          <w:sz w:val="18"/>
          <w:szCs w:val="18"/>
          <w:b w:val="1"/>
          <w:bCs w:val="1"/>
          <w:color w:val="FFFFFE"/>
        </w:rPr>
        <w:t>MICHAEL J. KASBAR</w:t>
      </w:r>
      <w:r>
        <w:rPr>
          <w:sz w:val="20"/>
          <w:szCs w:val="20"/>
          <w:color w:val="auto"/>
        </w:rPr>
        <w:tab/>
      </w:r>
      <w:r>
        <w:rPr>
          <w:rFonts w:ascii="Arial" w:cs="Arial" w:eastAsia="Arial" w:hAnsi="Arial"/>
          <w:sz w:val="18"/>
          <w:szCs w:val="18"/>
          <w:b w:val="1"/>
          <w:bCs w:val="1"/>
          <w:color w:val="FFFFFE"/>
        </w:rPr>
        <w:t xml:space="preserve">Age: </w:t>
      </w:r>
      <w:r>
        <w:rPr>
          <w:rFonts w:ascii="Arial" w:cs="Arial" w:eastAsia="Arial" w:hAnsi="Arial"/>
          <w:sz w:val="18"/>
          <w:szCs w:val="18"/>
          <w:color w:val="FFFFFE"/>
        </w:rPr>
        <w:t>63</w:t>
      </w:r>
      <w:r>
        <w:rPr>
          <w:sz w:val="20"/>
          <w:szCs w:val="20"/>
          <w:color w:val="auto"/>
        </w:rPr>
        <w:tab/>
      </w:r>
      <w:r>
        <w:rPr>
          <w:rFonts w:ascii="Arial" w:cs="Arial" w:eastAsia="Arial" w:hAnsi="Arial"/>
          <w:sz w:val="15"/>
          <w:szCs w:val="15"/>
          <w:b w:val="1"/>
          <w:bCs w:val="1"/>
          <w:color w:val="FFFFFE"/>
        </w:rPr>
        <w:t xml:space="preserve">Director Since: </w:t>
      </w:r>
      <w:r>
        <w:rPr>
          <w:rFonts w:ascii="Arial" w:cs="Arial" w:eastAsia="Arial" w:hAnsi="Arial"/>
          <w:sz w:val="15"/>
          <w:szCs w:val="15"/>
          <w:color w:val="FFFFFE"/>
        </w:rPr>
        <w:t>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0</wp:posOffset>
            </wp:positionV>
            <wp:extent cx="5700395"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0395" cy="411480"/>
                    </a:xfrm>
                    <a:prstGeom prst="rect">
                      <a:avLst/>
                    </a:prstGeom>
                    <a:noFill/>
                  </pic:spPr>
                </pic:pic>
              </a:graphicData>
            </a:graphic>
          </wp:anchor>
        </w:drawing>
      </w:r>
    </w:p>
    <w:p>
      <w:pPr>
        <w:spacing w:after="0" w:line="158" w:lineRule="exact"/>
        <w:rPr>
          <w:sz w:val="20"/>
          <w:szCs w:val="20"/>
          <w:color w:val="auto"/>
        </w:rPr>
      </w:pPr>
    </w:p>
    <w:p>
      <w:pPr>
        <w:ind w:left="1280"/>
        <w:spacing w:after="0"/>
        <w:rPr>
          <w:sz w:val="20"/>
          <w:szCs w:val="20"/>
          <w:color w:val="auto"/>
        </w:rPr>
      </w:pPr>
      <w:r>
        <w:rPr>
          <w:sz w:val="1"/>
          <w:szCs w:val="1"/>
          <w:color w:val="auto"/>
        </w:rPr>
        <w:drawing>
          <wp:inline distT="0" distB="0" distL="0" distR="0">
            <wp:extent cx="102870" cy="27432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274320"/>
                    </a:xfrm>
                    <a:prstGeom prst="rect">
                      <a:avLst/>
                    </a:prstGeom>
                    <a:noFill/>
                    <a:ln>
                      <a:noFill/>
                    </a:ln>
                  </pic:spPr>
                </pic:pic>
              </a:graphicData>
            </a:graphic>
          </wp:inline>
        </w:drawing>
      </w:r>
      <w:r>
        <w:rPr>
          <w:rFonts w:ascii="Arial" w:cs="Arial" w:eastAsia="Arial" w:hAnsi="Arial"/>
          <w:sz w:val="18"/>
          <w:szCs w:val="18"/>
          <w:b w:val="1"/>
          <w:bCs w:val="1"/>
          <w:i w:val="1"/>
          <w:iCs w:val="1"/>
          <w:color w:val="auto"/>
        </w:rPr>
        <w:t>Chairman, President and Chief Executive Officer</w:t>
      </w:r>
    </w:p>
    <w:p>
      <w:pPr>
        <w:spacing w:after="0" w:line="235"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Background:</w:t>
      </w:r>
    </w:p>
    <w:p>
      <w:pPr>
        <w:spacing w:after="0" w:line="252" w:lineRule="exact"/>
        <w:rPr>
          <w:sz w:val="20"/>
          <w:szCs w:val="20"/>
          <w:color w:val="auto"/>
        </w:rPr>
      </w:pPr>
    </w:p>
    <w:p>
      <w:pPr>
        <w:ind w:left="1440" w:right="1160"/>
        <w:spacing w:after="0" w:line="288" w:lineRule="auto"/>
        <w:rPr>
          <w:sz w:val="20"/>
          <w:szCs w:val="20"/>
          <w:color w:val="auto"/>
        </w:rPr>
      </w:pPr>
      <w:r>
        <w:rPr>
          <w:rFonts w:ascii="Arial" w:cs="Arial" w:eastAsia="Arial" w:hAnsi="Arial"/>
          <w:sz w:val="16"/>
          <w:szCs w:val="16"/>
          <w:color w:val="auto"/>
        </w:rPr>
        <w:t>Mr. Kasbar has served as Chairman of the Board since May 2014 and has served as our President and Chief Executive Officer since January 2012. From July 2002 to December 2011, he served as our President and Chief Operating Officer. From January 1995 to July 2002, he served as Chief Executive Officer of World Fuel Services Americas, Inc. (formerly Trans-Tec Services, Inc.), at the time our principal subsidiary engaged in the marine fuel services business. From September 1985 to December 1994, Mr. Kasbar was an officer, shareholder and director of Trans-Tec Services, Inc., a global marine fuel services company, and its affiliated companies. Mr. Kasbar co-founded Trans-Tec Services, Inc. in 1985 and has extensive executive experience in the fuel services business. Mr. Kasbar is also a member of the Business Roundtable. Mr. Kasbar is the first cousin of our director, Richard A. Kassar.</w:t>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Skills &amp; Qualifications:</w:t>
      </w:r>
    </w:p>
    <w:p>
      <w:pPr>
        <w:spacing w:after="0" w:line="252" w:lineRule="exact"/>
        <w:rPr>
          <w:sz w:val="20"/>
          <w:szCs w:val="20"/>
          <w:color w:val="auto"/>
        </w:rPr>
      </w:pPr>
    </w:p>
    <w:p>
      <w:pPr>
        <w:ind w:left="1440" w:right="1380"/>
        <w:spacing w:after="0" w:line="254" w:lineRule="auto"/>
        <w:rPr>
          <w:sz w:val="20"/>
          <w:szCs w:val="20"/>
          <w:color w:val="auto"/>
        </w:rPr>
      </w:pPr>
      <w:r>
        <w:rPr>
          <w:rFonts w:ascii="Arial" w:cs="Arial" w:eastAsia="Arial" w:hAnsi="Arial"/>
          <w:sz w:val="18"/>
          <w:szCs w:val="18"/>
          <w:color w:val="auto"/>
        </w:rPr>
        <w:t>Mr. Kasbar brings to the Board a unique understanding of our strategies and operations through over 20 years of service with us and more than 30 years of experience in the fuel services business.</w:t>
      </w: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tbl>
      <w:tblPr>
        <w:tblLayout w:type="fixed"/>
        <w:tblInd w:w="1120" w:type="dxa"/>
        <w:tblCellMar>
          <w:top w:w="0" w:type="dxa"/>
          <w:left w:w="0" w:type="dxa"/>
          <w:bottom w:w="0" w:type="dxa"/>
          <w:right w:w="0" w:type="dxa"/>
        </w:tblCellMar>
      </w:tblPr>
      <w:tr>
        <w:trPr>
          <w:trHeight w:val="430"/>
        </w:trPr>
        <w:tc>
          <w:tcPr>
            <w:tcW w:w="160" w:type="dxa"/>
            <w:vAlign w:val="bottom"/>
            <w:shd w:val="clear" w:color="auto" w:fill="0048E0"/>
          </w:tcPr>
          <w:p>
            <w:pPr>
              <w:spacing w:after="0"/>
              <w:rPr>
                <w:sz w:val="24"/>
                <w:szCs w:val="24"/>
                <w:color w:val="auto"/>
              </w:rPr>
            </w:pPr>
          </w:p>
        </w:tc>
        <w:tc>
          <w:tcPr>
            <w:tcW w:w="160" w:type="dxa"/>
            <w:vAlign w:val="bottom"/>
            <w:shd w:val="clear" w:color="auto" w:fill="0048E0"/>
          </w:tcPr>
          <w:p>
            <w:pPr>
              <w:spacing w:after="0"/>
              <w:rPr>
                <w:sz w:val="24"/>
                <w:szCs w:val="24"/>
                <w:color w:val="auto"/>
              </w:rPr>
            </w:pPr>
          </w:p>
        </w:tc>
        <w:tc>
          <w:tcPr>
            <w:tcW w:w="3360" w:type="dxa"/>
            <w:vAlign w:val="bottom"/>
            <w:shd w:val="clear" w:color="auto" w:fill="0048E0"/>
          </w:tcPr>
          <w:p>
            <w:pPr>
              <w:spacing w:after="0"/>
              <w:rPr>
                <w:sz w:val="20"/>
                <w:szCs w:val="20"/>
                <w:color w:val="auto"/>
              </w:rPr>
            </w:pPr>
            <w:r>
              <w:rPr>
                <w:rFonts w:ascii="Arial" w:cs="Arial" w:eastAsia="Arial" w:hAnsi="Arial"/>
                <w:sz w:val="18"/>
                <w:szCs w:val="18"/>
                <w:b w:val="1"/>
                <w:bCs w:val="1"/>
                <w:color w:val="FFFFFE"/>
              </w:rPr>
              <w:t>KEN BAKSHI</w:t>
            </w:r>
          </w:p>
        </w:tc>
        <w:tc>
          <w:tcPr>
            <w:tcW w:w="2640" w:type="dxa"/>
            <w:vAlign w:val="bottom"/>
            <w:shd w:val="clear" w:color="auto" w:fill="0048E0"/>
          </w:tcPr>
          <w:p>
            <w:pPr>
              <w:ind w:left="1800"/>
              <w:spacing w:after="0"/>
              <w:rPr>
                <w:sz w:val="20"/>
                <w:szCs w:val="20"/>
                <w:color w:val="auto"/>
              </w:rPr>
            </w:pPr>
            <w:r>
              <w:rPr>
                <w:rFonts w:ascii="Arial" w:cs="Arial" w:eastAsia="Arial" w:hAnsi="Arial"/>
                <w:sz w:val="18"/>
                <w:szCs w:val="18"/>
                <w:b w:val="1"/>
                <w:bCs w:val="1"/>
                <w:color w:val="FFFFFE"/>
              </w:rPr>
              <w:t xml:space="preserve">Age: </w:t>
            </w:r>
            <w:r>
              <w:rPr>
                <w:rFonts w:ascii="Arial" w:cs="Arial" w:eastAsia="Arial" w:hAnsi="Arial"/>
                <w:sz w:val="18"/>
                <w:szCs w:val="18"/>
                <w:color w:val="FFFFFE"/>
              </w:rPr>
              <w:t>70</w:t>
            </w:r>
          </w:p>
        </w:tc>
        <w:tc>
          <w:tcPr>
            <w:tcW w:w="2660" w:type="dxa"/>
            <w:vAlign w:val="bottom"/>
            <w:shd w:val="clear" w:color="auto" w:fill="0048E0"/>
          </w:tcPr>
          <w:p>
            <w:pPr>
              <w:ind w:left="260"/>
              <w:spacing w:after="0"/>
              <w:rPr>
                <w:sz w:val="20"/>
                <w:szCs w:val="20"/>
                <w:color w:val="auto"/>
              </w:rPr>
            </w:pPr>
            <w:r>
              <w:rPr>
                <w:rFonts w:ascii="Arial" w:cs="Arial" w:eastAsia="Arial" w:hAnsi="Arial"/>
                <w:sz w:val="18"/>
                <w:szCs w:val="18"/>
                <w:b w:val="1"/>
                <w:bCs w:val="1"/>
                <w:color w:val="FFFFFE"/>
              </w:rPr>
              <w:t xml:space="preserve">Director Since: </w:t>
            </w:r>
            <w:r>
              <w:rPr>
                <w:rFonts w:ascii="Arial" w:cs="Arial" w:eastAsia="Arial" w:hAnsi="Arial"/>
                <w:sz w:val="18"/>
                <w:szCs w:val="18"/>
                <w:color w:val="FFFFFE"/>
              </w:rPr>
              <w:t>2002</w:t>
            </w:r>
          </w:p>
        </w:tc>
        <w:tc>
          <w:tcPr>
            <w:tcW w:w="0" w:type="dxa"/>
            <w:vAlign w:val="bottom"/>
          </w:tcPr>
          <w:p>
            <w:pPr>
              <w:spacing w:after="0"/>
              <w:rPr>
                <w:sz w:val="1"/>
                <w:szCs w:val="1"/>
                <w:color w:val="auto"/>
              </w:rPr>
            </w:pPr>
          </w:p>
        </w:tc>
      </w:tr>
      <w:tr>
        <w:trPr>
          <w:trHeight w:val="245"/>
        </w:trPr>
        <w:tc>
          <w:tcPr>
            <w:tcW w:w="160" w:type="dxa"/>
            <w:vAlign w:val="bottom"/>
            <w:shd w:val="clear" w:color="auto" w:fill="0048E0"/>
          </w:tcPr>
          <w:p>
            <w:pPr>
              <w:spacing w:after="0"/>
              <w:rPr>
                <w:sz w:val="21"/>
                <w:szCs w:val="21"/>
                <w:color w:val="auto"/>
              </w:rPr>
            </w:pPr>
          </w:p>
        </w:tc>
        <w:tc>
          <w:tcPr>
            <w:tcW w:w="160" w:type="dxa"/>
            <w:vAlign w:val="bottom"/>
            <w:shd w:val="clear" w:color="auto" w:fill="0048E0"/>
          </w:tcPr>
          <w:p>
            <w:pPr>
              <w:spacing w:after="0"/>
              <w:rPr>
                <w:sz w:val="21"/>
                <w:szCs w:val="21"/>
                <w:color w:val="auto"/>
              </w:rPr>
            </w:pPr>
          </w:p>
        </w:tc>
        <w:tc>
          <w:tcPr>
            <w:tcW w:w="3360" w:type="dxa"/>
            <w:vAlign w:val="bottom"/>
            <w:shd w:val="clear" w:color="auto" w:fill="0048E0"/>
          </w:tcPr>
          <w:p>
            <w:pPr>
              <w:spacing w:after="0"/>
              <w:rPr>
                <w:sz w:val="21"/>
                <w:szCs w:val="21"/>
                <w:color w:val="auto"/>
              </w:rPr>
            </w:pPr>
          </w:p>
        </w:tc>
        <w:tc>
          <w:tcPr>
            <w:tcW w:w="2640" w:type="dxa"/>
            <w:vAlign w:val="bottom"/>
            <w:shd w:val="clear" w:color="auto" w:fill="0048E0"/>
          </w:tcPr>
          <w:p>
            <w:pPr>
              <w:spacing w:after="0"/>
              <w:rPr>
                <w:sz w:val="21"/>
                <w:szCs w:val="21"/>
                <w:color w:val="auto"/>
              </w:rPr>
            </w:pPr>
          </w:p>
        </w:tc>
        <w:tc>
          <w:tcPr>
            <w:tcW w:w="2660" w:type="dxa"/>
            <w:vAlign w:val="bottom"/>
            <w:shd w:val="clear" w:color="auto" w:fill="0048E0"/>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3360" w:type="dxa"/>
            <w:vAlign w:val="bottom"/>
            <w:vMerge w:val="restart"/>
            <w:shd w:val="clear" w:color="auto" w:fill="E7E7E8"/>
          </w:tcPr>
          <w:p>
            <w:pPr>
              <w:spacing w:after="0"/>
              <w:rPr>
                <w:sz w:val="20"/>
                <w:szCs w:val="20"/>
                <w:color w:val="auto"/>
              </w:rPr>
            </w:pPr>
            <w:r>
              <w:rPr>
                <w:rFonts w:ascii="Arial" w:cs="Arial" w:eastAsia="Arial" w:hAnsi="Arial"/>
                <w:sz w:val="18"/>
                <w:szCs w:val="18"/>
                <w:b w:val="1"/>
                <w:bCs w:val="1"/>
                <w:i w:val="1"/>
                <w:iCs w:val="1"/>
                <w:color w:val="auto"/>
              </w:rPr>
              <w:t>Independent Director</w:t>
            </w:r>
          </w:p>
        </w:tc>
        <w:tc>
          <w:tcPr>
            <w:tcW w:w="2640" w:type="dxa"/>
            <w:vAlign w:val="bottom"/>
            <w:shd w:val="clear" w:color="auto" w:fill="E7E7E8"/>
          </w:tcPr>
          <w:p>
            <w:pPr>
              <w:spacing w:after="0"/>
              <w:rPr>
                <w:sz w:val="18"/>
                <w:szCs w:val="18"/>
                <w:color w:val="auto"/>
              </w:rPr>
            </w:pPr>
          </w:p>
        </w:tc>
        <w:tc>
          <w:tcPr>
            <w:tcW w:w="26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3360" w:type="dxa"/>
            <w:vAlign w:val="bottom"/>
            <w:vMerge w:val="continue"/>
            <w:shd w:val="clear" w:color="auto" w:fill="E7E7E8"/>
          </w:tcPr>
          <w:p>
            <w:pPr>
              <w:spacing w:after="0"/>
              <w:rPr>
                <w:sz w:val="18"/>
                <w:szCs w:val="18"/>
                <w:color w:val="auto"/>
              </w:rPr>
            </w:pPr>
          </w:p>
        </w:tc>
        <w:tc>
          <w:tcPr>
            <w:tcW w:w="2640" w:type="dxa"/>
            <w:vAlign w:val="bottom"/>
            <w:shd w:val="clear" w:color="auto" w:fill="E7E7E8"/>
          </w:tcPr>
          <w:p>
            <w:pPr>
              <w:spacing w:after="0"/>
              <w:rPr>
                <w:sz w:val="18"/>
                <w:szCs w:val="18"/>
                <w:color w:val="auto"/>
              </w:rPr>
            </w:pPr>
          </w:p>
        </w:tc>
        <w:tc>
          <w:tcPr>
            <w:tcW w:w="26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shd w:val="clear" w:color="auto" w:fill="E7E7E8"/>
          </w:tcPr>
          <w:p>
            <w:pPr>
              <w:spacing w:after="0"/>
              <w:rPr>
                <w:sz w:val="18"/>
                <w:szCs w:val="18"/>
                <w:color w:val="auto"/>
              </w:rPr>
            </w:pPr>
          </w:p>
        </w:tc>
        <w:tc>
          <w:tcPr>
            <w:tcW w:w="2640" w:type="dxa"/>
            <w:vAlign w:val="bottom"/>
            <w:shd w:val="clear" w:color="auto" w:fill="E7E7E8"/>
          </w:tcPr>
          <w:p>
            <w:pPr>
              <w:spacing w:after="0"/>
              <w:rPr>
                <w:sz w:val="18"/>
                <w:szCs w:val="18"/>
                <w:color w:val="auto"/>
              </w:rPr>
            </w:pPr>
          </w:p>
        </w:tc>
        <w:tc>
          <w:tcPr>
            <w:tcW w:w="26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-410845</wp:posOffset>
            </wp:positionV>
            <wp:extent cx="5700395" cy="8401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840105"/>
                    </a:xfrm>
                    <a:prstGeom prst="rect">
                      <a:avLst/>
                    </a:prstGeom>
                    <a:noFill/>
                  </pic:spPr>
                </pic:pic>
              </a:graphicData>
            </a:graphic>
          </wp:anchor>
        </w:drawing>
      </w:r>
    </w:p>
    <w:p>
      <w:pPr>
        <w:ind w:left="1440"/>
        <w:spacing w:after="0"/>
        <w:tabs>
          <w:tab w:leader="none" w:pos="2740" w:val="left"/>
        </w:tabs>
        <w:rPr>
          <w:sz w:val="20"/>
          <w:szCs w:val="20"/>
          <w:color w:val="auto"/>
        </w:rPr>
      </w:pPr>
      <w:r>
        <w:rPr>
          <w:rFonts w:ascii="Arial" w:cs="Arial" w:eastAsia="Arial" w:hAnsi="Arial"/>
          <w:sz w:val="18"/>
          <w:szCs w:val="18"/>
          <w:b w:val="1"/>
          <w:bCs w:val="1"/>
          <w:color w:val="auto"/>
        </w:rPr>
        <w:t>Committees:</w:t>
      </w:r>
      <w:r>
        <w:rPr>
          <w:sz w:val="20"/>
          <w:szCs w:val="20"/>
          <w:color w:val="auto"/>
        </w:rPr>
        <w:tab/>
      </w:r>
      <w:r>
        <w:rPr>
          <w:rFonts w:ascii="Arial" w:cs="Arial" w:eastAsia="Arial" w:hAnsi="Arial"/>
          <w:sz w:val="18"/>
          <w:szCs w:val="18"/>
          <w:color w:val="auto"/>
        </w:rPr>
        <w:t>Compensation (Chair), Governance, Sustainability &amp; Corporate Responsibility, Technology &amp;</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Operations and Nominating Subcommittee (Chair)</w:t>
      </w:r>
    </w:p>
    <w:p>
      <w:pPr>
        <w:spacing w:after="0" w:line="200" w:lineRule="exact"/>
        <w:rPr>
          <w:sz w:val="20"/>
          <w:szCs w:val="20"/>
          <w:color w:val="auto"/>
        </w:rPr>
      </w:pPr>
    </w:p>
    <w:p>
      <w:pPr>
        <w:spacing w:after="0" w:line="289"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Background:</w:t>
      </w:r>
    </w:p>
    <w:p>
      <w:pPr>
        <w:spacing w:after="0" w:line="252" w:lineRule="exact"/>
        <w:rPr>
          <w:sz w:val="20"/>
          <w:szCs w:val="20"/>
          <w:color w:val="auto"/>
        </w:rPr>
      </w:pPr>
    </w:p>
    <w:p>
      <w:pPr>
        <w:ind w:left="1440" w:right="1160"/>
        <w:spacing w:after="0" w:line="286" w:lineRule="auto"/>
        <w:rPr>
          <w:sz w:val="20"/>
          <w:szCs w:val="20"/>
          <w:color w:val="auto"/>
        </w:rPr>
      </w:pPr>
      <w:r>
        <w:rPr>
          <w:rFonts w:ascii="Arial" w:cs="Arial" w:eastAsia="Arial" w:hAnsi="Arial"/>
          <w:sz w:val="16"/>
          <w:szCs w:val="16"/>
          <w:color w:val="auto"/>
        </w:rPr>
        <w:t>Since June 2003, Mr. Ken (Kanwaljit) Bakshi has been managing partner of Trishul Capital Group LLC and Trishul Advisory Group LLC, two privately owned equity investment and consulting companies. From July 2013 to June 2015, Mr. Bakshi served as Executive Chairman of the board of directors of Amala Inc., a skin care products company. Prior to that, from April 2008 to July 2013, he was Chairman of the board of directors and Chief Executive Officer of Amala Inc. From March 2006 through June 2009, he was Vice Chairman of the board of directors of Row 2 Technologies, a software development firm he co-founded, and from December 2002 to February 2006, he was employed by Row 2 Technologies as Chief Executive Officer. From July 2000 to December 2002, he was employed as Executive Vice President and Chief Operating Officer of Vistaar, Inc., an incubator of business to business internet-based marketplaces. From 1998 to 2000, Mr. Bakshi served as Senior Vice President of Wyeth (formerly known as American Home Products Corp.), a NYSE company until 2009 when it was acquired by Pfizer, Inc. Prior to 1998, Mr. Bakshi served in various capacities with American Home Products Corp. and American Cyanamid Company, which was acquired by American Home Products Corp. in 1994.</w:t>
      </w:r>
    </w:p>
    <w:p>
      <w:pPr>
        <w:spacing w:after="0" w:line="204"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Skills &amp; Qualifications:</w:t>
      </w:r>
    </w:p>
    <w:p>
      <w:pPr>
        <w:spacing w:after="0" w:line="252" w:lineRule="exact"/>
        <w:rPr>
          <w:sz w:val="20"/>
          <w:szCs w:val="20"/>
          <w:color w:val="auto"/>
        </w:rPr>
      </w:pPr>
    </w:p>
    <w:p>
      <w:pPr>
        <w:ind w:left="1440" w:right="1160"/>
        <w:spacing w:after="0" w:line="369" w:lineRule="auto"/>
        <w:rPr>
          <w:sz w:val="20"/>
          <w:szCs w:val="20"/>
          <w:color w:val="auto"/>
        </w:rPr>
      </w:pPr>
      <w:r>
        <w:rPr>
          <w:rFonts w:ascii="Arial" w:cs="Arial" w:eastAsia="Arial" w:hAnsi="Arial"/>
          <w:sz w:val="15"/>
          <w:szCs w:val="15"/>
          <w:color w:val="auto"/>
        </w:rPr>
        <w:t>Mr. Bakshi brings to the Board extensive experience in private equity investments, management consulting and technology and significant executive experience running operating units within large multinational publicly traded corporations.</w:t>
      </w:r>
    </w:p>
    <w:p>
      <w:pPr>
        <w:spacing w:after="0" w:line="200" w:lineRule="exact"/>
        <w:rPr>
          <w:sz w:val="20"/>
          <w:szCs w:val="20"/>
          <w:color w:val="auto"/>
        </w:rPr>
      </w:pPr>
    </w:p>
    <w:p>
      <w:pPr>
        <w:spacing w:after="0" w:line="358" w:lineRule="exact"/>
        <w:rPr>
          <w:sz w:val="20"/>
          <w:szCs w:val="20"/>
          <w:color w:val="auto"/>
        </w:rPr>
      </w:pPr>
    </w:p>
    <w:tbl>
      <w:tblPr>
        <w:tblLayout w:type="fixed"/>
        <w:tblInd w:w="1120" w:type="dxa"/>
        <w:tblCellMar>
          <w:top w:w="0" w:type="dxa"/>
          <w:left w:w="0" w:type="dxa"/>
          <w:bottom w:w="0" w:type="dxa"/>
          <w:right w:w="0" w:type="dxa"/>
        </w:tblCellMar>
      </w:tblPr>
      <w:tr>
        <w:trPr>
          <w:trHeight w:val="430"/>
        </w:trPr>
        <w:tc>
          <w:tcPr>
            <w:tcW w:w="160" w:type="dxa"/>
            <w:vAlign w:val="bottom"/>
            <w:shd w:val="clear" w:color="auto" w:fill="0048E0"/>
          </w:tcPr>
          <w:p>
            <w:pPr>
              <w:spacing w:after="0"/>
              <w:rPr>
                <w:sz w:val="24"/>
                <w:szCs w:val="24"/>
                <w:color w:val="auto"/>
              </w:rPr>
            </w:pPr>
          </w:p>
        </w:tc>
        <w:tc>
          <w:tcPr>
            <w:tcW w:w="160" w:type="dxa"/>
            <w:vAlign w:val="bottom"/>
            <w:shd w:val="clear" w:color="auto" w:fill="0048E0"/>
          </w:tcPr>
          <w:p>
            <w:pPr>
              <w:spacing w:after="0"/>
              <w:rPr>
                <w:sz w:val="24"/>
                <w:szCs w:val="24"/>
                <w:color w:val="auto"/>
              </w:rPr>
            </w:pPr>
          </w:p>
        </w:tc>
        <w:tc>
          <w:tcPr>
            <w:tcW w:w="3400" w:type="dxa"/>
            <w:vAlign w:val="bottom"/>
            <w:shd w:val="clear" w:color="auto" w:fill="0048E0"/>
          </w:tcPr>
          <w:p>
            <w:pPr>
              <w:spacing w:after="0"/>
              <w:rPr>
                <w:sz w:val="20"/>
                <w:szCs w:val="20"/>
                <w:color w:val="auto"/>
              </w:rPr>
            </w:pPr>
            <w:r>
              <w:rPr>
                <w:rFonts w:ascii="Arial" w:cs="Arial" w:eastAsia="Arial" w:hAnsi="Arial"/>
                <w:sz w:val="18"/>
                <w:szCs w:val="18"/>
                <w:b w:val="1"/>
                <w:bCs w:val="1"/>
                <w:color w:val="FFFFFE"/>
              </w:rPr>
              <w:t>JORGE L. BENITEZ</w:t>
            </w:r>
          </w:p>
        </w:tc>
        <w:tc>
          <w:tcPr>
            <w:tcW w:w="2600" w:type="dxa"/>
            <w:vAlign w:val="bottom"/>
            <w:shd w:val="clear" w:color="auto" w:fill="0048E0"/>
          </w:tcPr>
          <w:p>
            <w:pPr>
              <w:ind w:left="1780"/>
              <w:spacing w:after="0"/>
              <w:rPr>
                <w:sz w:val="20"/>
                <w:szCs w:val="20"/>
                <w:color w:val="auto"/>
              </w:rPr>
            </w:pPr>
            <w:r>
              <w:rPr>
                <w:rFonts w:ascii="Arial" w:cs="Arial" w:eastAsia="Arial" w:hAnsi="Arial"/>
                <w:sz w:val="18"/>
                <w:szCs w:val="18"/>
                <w:b w:val="1"/>
                <w:bCs w:val="1"/>
                <w:color w:val="FFFFFE"/>
              </w:rPr>
              <w:t xml:space="preserve">Age: </w:t>
            </w:r>
            <w:r>
              <w:rPr>
                <w:rFonts w:ascii="Arial" w:cs="Arial" w:eastAsia="Arial" w:hAnsi="Arial"/>
                <w:sz w:val="18"/>
                <w:szCs w:val="18"/>
                <w:color w:val="FFFFFE"/>
              </w:rPr>
              <w:t>60</w:t>
            </w:r>
          </w:p>
        </w:tc>
        <w:tc>
          <w:tcPr>
            <w:tcW w:w="2660" w:type="dxa"/>
            <w:vAlign w:val="bottom"/>
            <w:shd w:val="clear" w:color="auto" w:fill="0048E0"/>
          </w:tcPr>
          <w:p>
            <w:pPr>
              <w:ind w:left="260"/>
              <w:spacing w:after="0"/>
              <w:rPr>
                <w:sz w:val="20"/>
                <w:szCs w:val="20"/>
                <w:color w:val="auto"/>
              </w:rPr>
            </w:pPr>
            <w:r>
              <w:rPr>
                <w:rFonts w:ascii="Arial" w:cs="Arial" w:eastAsia="Arial" w:hAnsi="Arial"/>
                <w:sz w:val="18"/>
                <w:szCs w:val="18"/>
                <w:b w:val="1"/>
                <w:bCs w:val="1"/>
                <w:color w:val="FFFFFE"/>
              </w:rPr>
              <w:t xml:space="preserve">Director Since: </w:t>
            </w:r>
            <w:r>
              <w:rPr>
                <w:rFonts w:ascii="Arial" w:cs="Arial" w:eastAsia="Arial" w:hAnsi="Arial"/>
                <w:sz w:val="18"/>
                <w:szCs w:val="18"/>
                <w:color w:val="FFFFFE"/>
              </w:rPr>
              <w:t>2015</w:t>
            </w:r>
          </w:p>
        </w:tc>
        <w:tc>
          <w:tcPr>
            <w:tcW w:w="0" w:type="dxa"/>
            <w:vAlign w:val="bottom"/>
          </w:tcPr>
          <w:p>
            <w:pPr>
              <w:spacing w:after="0"/>
              <w:rPr>
                <w:sz w:val="1"/>
                <w:szCs w:val="1"/>
                <w:color w:val="auto"/>
              </w:rPr>
            </w:pPr>
          </w:p>
        </w:tc>
      </w:tr>
      <w:tr>
        <w:trPr>
          <w:trHeight w:val="245"/>
        </w:trPr>
        <w:tc>
          <w:tcPr>
            <w:tcW w:w="160" w:type="dxa"/>
            <w:vAlign w:val="bottom"/>
            <w:shd w:val="clear" w:color="auto" w:fill="0048E0"/>
          </w:tcPr>
          <w:p>
            <w:pPr>
              <w:spacing w:after="0"/>
              <w:rPr>
                <w:sz w:val="21"/>
                <w:szCs w:val="21"/>
                <w:color w:val="auto"/>
              </w:rPr>
            </w:pPr>
          </w:p>
        </w:tc>
        <w:tc>
          <w:tcPr>
            <w:tcW w:w="160" w:type="dxa"/>
            <w:vAlign w:val="bottom"/>
            <w:shd w:val="clear" w:color="auto" w:fill="0048E0"/>
          </w:tcPr>
          <w:p>
            <w:pPr>
              <w:spacing w:after="0"/>
              <w:rPr>
                <w:sz w:val="21"/>
                <w:szCs w:val="21"/>
                <w:color w:val="auto"/>
              </w:rPr>
            </w:pPr>
          </w:p>
        </w:tc>
        <w:tc>
          <w:tcPr>
            <w:tcW w:w="3400" w:type="dxa"/>
            <w:vAlign w:val="bottom"/>
            <w:shd w:val="clear" w:color="auto" w:fill="0048E0"/>
          </w:tcPr>
          <w:p>
            <w:pPr>
              <w:spacing w:after="0"/>
              <w:rPr>
                <w:sz w:val="21"/>
                <w:szCs w:val="21"/>
                <w:color w:val="auto"/>
              </w:rPr>
            </w:pPr>
          </w:p>
        </w:tc>
        <w:tc>
          <w:tcPr>
            <w:tcW w:w="2600" w:type="dxa"/>
            <w:vAlign w:val="bottom"/>
            <w:shd w:val="clear" w:color="auto" w:fill="0048E0"/>
          </w:tcPr>
          <w:p>
            <w:pPr>
              <w:spacing w:after="0"/>
              <w:rPr>
                <w:sz w:val="21"/>
                <w:szCs w:val="21"/>
                <w:color w:val="auto"/>
              </w:rPr>
            </w:pPr>
          </w:p>
        </w:tc>
        <w:tc>
          <w:tcPr>
            <w:tcW w:w="2660" w:type="dxa"/>
            <w:vAlign w:val="bottom"/>
            <w:shd w:val="clear" w:color="auto" w:fill="0048E0"/>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3400" w:type="dxa"/>
            <w:vAlign w:val="bottom"/>
            <w:vMerge w:val="restart"/>
            <w:shd w:val="clear" w:color="auto" w:fill="E7E7E8"/>
          </w:tcPr>
          <w:p>
            <w:pPr>
              <w:spacing w:after="0"/>
              <w:rPr>
                <w:sz w:val="20"/>
                <w:szCs w:val="20"/>
                <w:color w:val="auto"/>
              </w:rPr>
            </w:pPr>
            <w:r>
              <w:rPr>
                <w:rFonts w:ascii="Arial" w:cs="Arial" w:eastAsia="Arial" w:hAnsi="Arial"/>
                <w:sz w:val="18"/>
                <w:szCs w:val="18"/>
                <w:b w:val="1"/>
                <w:bCs w:val="1"/>
                <w:i w:val="1"/>
                <w:iCs w:val="1"/>
                <w:color w:val="auto"/>
              </w:rPr>
              <w:t>Independent Director</w:t>
            </w:r>
          </w:p>
        </w:tc>
        <w:tc>
          <w:tcPr>
            <w:tcW w:w="2600" w:type="dxa"/>
            <w:vAlign w:val="bottom"/>
            <w:shd w:val="clear" w:color="auto" w:fill="E7E7E8"/>
          </w:tcPr>
          <w:p>
            <w:pPr>
              <w:spacing w:after="0"/>
              <w:rPr>
                <w:sz w:val="18"/>
                <w:szCs w:val="18"/>
                <w:color w:val="auto"/>
              </w:rPr>
            </w:pPr>
          </w:p>
        </w:tc>
        <w:tc>
          <w:tcPr>
            <w:tcW w:w="26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3400" w:type="dxa"/>
            <w:vAlign w:val="bottom"/>
            <w:vMerge w:val="continue"/>
            <w:shd w:val="clear" w:color="auto" w:fill="E7E7E8"/>
          </w:tcPr>
          <w:p>
            <w:pPr>
              <w:spacing w:after="0"/>
              <w:rPr>
                <w:sz w:val="18"/>
                <w:szCs w:val="18"/>
                <w:color w:val="auto"/>
              </w:rPr>
            </w:pPr>
          </w:p>
        </w:tc>
        <w:tc>
          <w:tcPr>
            <w:tcW w:w="2600" w:type="dxa"/>
            <w:vAlign w:val="bottom"/>
            <w:shd w:val="clear" w:color="auto" w:fill="E7E7E8"/>
          </w:tcPr>
          <w:p>
            <w:pPr>
              <w:spacing w:after="0"/>
              <w:rPr>
                <w:sz w:val="18"/>
                <w:szCs w:val="18"/>
                <w:color w:val="auto"/>
              </w:rPr>
            </w:pPr>
          </w:p>
        </w:tc>
        <w:tc>
          <w:tcPr>
            <w:tcW w:w="26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shd w:val="clear" w:color="auto" w:fill="E7E7E8"/>
          </w:tcPr>
          <w:p>
            <w:pPr>
              <w:spacing w:after="0"/>
              <w:rPr>
                <w:sz w:val="18"/>
                <w:szCs w:val="18"/>
                <w:color w:val="auto"/>
              </w:rPr>
            </w:pPr>
          </w:p>
        </w:tc>
        <w:tc>
          <w:tcPr>
            <w:tcW w:w="2600" w:type="dxa"/>
            <w:vAlign w:val="bottom"/>
            <w:shd w:val="clear" w:color="auto" w:fill="E7E7E8"/>
          </w:tcPr>
          <w:p>
            <w:pPr>
              <w:spacing w:after="0"/>
              <w:rPr>
                <w:sz w:val="18"/>
                <w:szCs w:val="18"/>
                <w:color w:val="auto"/>
              </w:rPr>
            </w:pPr>
          </w:p>
        </w:tc>
        <w:tc>
          <w:tcPr>
            <w:tcW w:w="26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-410845</wp:posOffset>
            </wp:positionV>
            <wp:extent cx="5700395" cy="8401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0395" cy="840105"/>
                    </a:xfrm>
                    <a:prstGeom prst="rect">
                      <a:avLst/>
                    </a:prstGeom>
                    <a:noFill/>
                  </pic:spPr>
                </pic:pic>
              </a:graphicData>
            </a:graphic>
          </wp:anchor>
        </w:drawing>
      </w:r>
    </w:p>
    <w:p>
      <w:pPr>
        <w:ind w:left="2760" w:right="1640" w:hanging="1319"/>
        <w:spacing w:after="0" w:line="258" w:lineRule="auto"/>
        <w:tabs>
          <w:tab w:leader="none" w:pos="2740" w:val="left"/>
        </w:tabs>
        <w:rPr>
          <w:sz w:val="20"/>
          <w:szCs w:val="20"/>
          <w:color w:val="auto"/>
        </w:rPr>
      </w:pPr>
      <w:r>
        <w:rPr>
          <w:rFonts w:ascii="Arial" w:cs="Arial" w:eastAsia="Arial" w:hAnsi="Arial"/>
          <w:sz w:val="18"/>
          <w:szCs w:val="18"/>
          <w:b w:val="1"/>
          <w:bCs w:val="1"/>
          <w:color w:val="auto"/>
        </w:rPr>
        <w:t>Committees:</w:t>
      </w:r>
      <w:r>
        <w:rPr>
          <w:sz w:val="20"/>
          <w:szCs w:val="20"/>
          <w:color w:val="auto"/>
        </w:rPr>
        <w:tab/>
      </w:r>
      <w:r>
        <w:rPr>
          <w:rFonts w:ascii="Arial" w:cs="Arial" w:eastAsia="Arial" w:hAnsi="Arial"/>
          <w:sz w:val="18"/>
          <w:szCs w:val="18"/>
          <w:color w:val="auto"/>
        </w:rPr>
        <w:t>Audit, Governance, Sustainability &amp; Corporate Responsibility (Chair), Technology &amp; Operations (Chair) and Nominating Subcommittee</w:t>
      </w:r>
    </w:p>
    <w:p>
      <w:pPr>
        <w:spacing w:after="0" w:line="200" w:lineRule="exact"/>
        <w:rPr>
          <w:sz w:val="20"/>
          <w:szCs w:val="20"/>
          <w:color w:val="auto"/>
        </w:rPr>
      </w:pPr>
    </w:p>
    <w:p>
      <w:pPr>
        <w:spacing w:after="0" w:line="265"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Background:</w:t>
      </w:r>
    </w:p>
    <w:p>
      <w:pPr>
        <w:spacing w:after="0" w:line="252" w:lineRule="exact"/>
        <w:rPr>
          <w:sz w:val="20"/>
          <w:szCs w:val="20"/>
          <w:color w:val="auto"/>
        </w:rPr>
      </w:pPr>
    </w:p>
    <w:p>
      <w:pPr>
        <w:ind w:left="1440" w:right="1140"/>
        <w:spacing w:after="0" w:line="287" w:lineRule="auto"/>
        <w:rPr>
          <w:sz w:val="20"/>
          <w:szCs w:val="20"/>
          <w:color w:val="auto"/>
        </w:rPr>
      </w:pPr>
      <w:r>
        <w:rPr>
          <w:rFonts w:ascii="Arial" w:cs="Arial" w:eastAsia="Arial" w:hAnsi="Arial"/>
          <w:sz w:val="16"/>
          <w:szCs w:val="16"/>
          <w:color w:val="auto"/>
        </w:rPr>
        <w:t>Mr. Benitez retired from Accenture plc in September 2014 after more than 33 years of service, the last three years of which Mr. Benitez served as Chief Executive Officer of North America, where he had primary responsibility for Accenture's business and operations in North America. From September 2006 to August 2011, Mr. Benitez served as Chief Operating Officer, Products Operating Group, the largest of Accenture's five operating groups, where he was responsible for executing the business strategy and ensuring operational excellence across a wide set of consumer industry groups, including: automotive; air, freight and travel services; industrial equipment; and infrastructure and transportation services. Prior to that, Mr. Benitez held various senior leadership roles and other positions since joining Accenture in 1981. In 2015, Mr. Benitez joined the board of directors of Fifth Third Bancorp, a Nasdaq company [FITB], and currently serves as its chairman of the technology committee and as a member of its audit committee, nominating and corporate governance committee, and its risk and compliance committee.</w:t>
      </w:r>
    </w:p>
    <w:p>
      <w:pPr>
        <w:spacing w:after="0" w:line="203"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Skills &amp; Qualifications:</w:t>
      </w:r>
    </w:p>
    <w:p>
      <w:pPr>
        <w:spacing w:after="0" w:line="252" w:lineRule="exact"/>
        <w:rPr>
          <w:sz w:val="20"/>
          <w:szCs w:val="20"/>
          <w:color w:val="auto"/>
        </w:rPr>
      </w:pPr>
    </w:p>
    <w:p>
      <w:pPr>
        <w:ind w:left="1440" w:right="1400"/>
        <w:spacing w:after="0" w:line="284" w:lineRule="auto"/>
        <w:rPr>
          <w:sz w:val="20"/>
          <w:szCs w:val="20"/>
          <w:color w:val="auto"/>
        </w:rPr>
      </w:pPr>
      <w:r>
        <w:rPr>
          <w:rFonts w:ascii="Arial" w:cs="Arial" w:eastAsia="Arial" w:hAnsi="Arial"/>
          <w:sz w:val="16"/>
          <w:szCs w:val="16"/>
          <w:color w:val="auto"/>
        </w:rPr>
        <w:t>Mr. Benitez brings to the Board his extensive experience developing and executing business strategies across a range of industries, particularly air, freight and travel and transportation services, as well as significant executive experience running operating units within a large multinational publicly traded corporation.</w:t>
      </w:r>
    </w:p>
    <w:p>
      <w:pPr>
        <w:spacing w:after="0" w:line="1"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tbl>
      <w:tblPr>
        <w:tblLayout w:type="fixed"/>
        <w:tblInd w:w="1120" w:type="dxa"/>
        <w:tblCellMar>
          <w:top w:w="0" w:type="dxa"/>
          <w:left w:w="0" w:type="dxa"/>
          <w:bottom w:w="0" w:type="dxa"/>
          <w:right w:w="0" w:type="dxa"/>
        </w:tblCellMar>
      </w:tblPr>
      <w:tr>
        <w:trPr>
          <w:trHeight w:val="430"/>
        </w:trPr>
        <w:tc>
          <w:tcPr>
            <w:tcW w:w="3780" w:type="dxa"/>
            <w:vAlign w:val="bottom"/>
            <w:gridSpan w:val="2"/>
            <w:shd w:val="clear" w:color="auto" w:fill="0048E0"/>
          </w:tcPr>
          <w:p>
            <w:pPr>
              <w:ind w:left="320"/>
              <w:spacing w:after="0"/>
              <w:rPr>
                <w:sz w:val="20"/>
                <w:szCs w:val="20"/>
                <w:color w:val="auto"/>
              </w:rPr>
            </w:pPr>
            <w:r>
              <w:rPr>
                <w:rFonts w:ascii="Arial" w:cs="Arial" w:eastAsia="Arial" w:hAnsi="Arial"/>
                <w:sz w:val="18"/>
                <w:szCs w:val="18"/>
                <w:b w:val="1"/>
                <w:bCs w:val="1"/>
                <w:color w:val="FFFFFE"/>
              </w:rPr>
              <w:t>SHARDA CHERWOO</w:t>
            </w:r>
          </w:p>
        </w:tc>
        <w:tc>
          <w:tcPr>
            <w:tcW w:w="2540" w:type="dxa"/>
            <w:vAlign w:val="bottom"/>
            <w:shd w:val="clear" w:color="auto" w:fill="0048E0"/>
          </w:tcPr>
          <w:p>
            <w:pPr>
              <w:ind w:left="1720"/>
              <w:spacing w:after="0"/>
              <w:rPr>
                <w:sz w:val="20"/>
                <w:szCs w:val="20"/>
                <w:color w:val="auto"/>
              </w:rPr>
            </w:pPr>
            <w:r>
              <w:rPr>
                <w:rFonts w:ascii="Arial" w:cs="Arial" w:eastAsia="Arial" w:hAnsi="Arial"/>
                <w:sz w:val="18"/>
                <w:szCs w:val="18"/>
                <w:b w:val="1"/>
                <w:bCs w:val="1"/>
                <w:color w:val="FFFFFE"/>
              </w:rPr>
              <w:t xml:space="preserve">Age: </w:t>
            </w:r>
            <w:r>
              <w:rPr>
                <w:rFonts w:ascii="Arial" w:cs="Arial" w:eastAsia="Arial" w:hAnsi="Arial"/>
                <w:sz w:val="18"/>
                <w:szCs w:val="18"/>
                <w:color w:val="FFFFFE"/>
              </w:rPr>
              <w:t>61</w:t>
            </w:r>
          </w:p>
        </w:tc>
        <w:tc>
          <w:tcPr>
            <w:tcW w:w="1420" w:type="dxa"/>
            <w:vAlign w:val="bottom"/>
            <w:shd w:val="clear" w:color="auto" w:fill="0048E0"/>
          </w:tcPr>
          <w:p>
            <w:pPr>
              <w:jc w:val="right"/>
              <w:spacing w:after="0"/>
              <w:rPr>
                <w:sz w:val="20"/>
                <w:szCs w:val="20"/>
                <w:color w:val="auto"/>
              </w:rPr>
            </w:pPr>
            <w:r>
              <w:rPr>
                <w:rFonts w:ascii="Arial" w:cs="Arial" w:eastAsia="Arial" w:hAnsi="Arial"/>
                <w:sz w:val="18"/>
                <w:szCs w:val="18"/>
                <w:b w:val="1"/>
                <w:bCs w:val="1"/>
                <w:color w:val="FFFFFE"/>
              </w:rPr>
              <w:t>Director Since:</w:t>
            </w:r>
          </w:p>
        </w:tc>
        <w:tc>
          <w:tcPr>
            <w:tcW w:w="1240" w:type="dxa"/>
            <w:vAlign w:val="bottom"/>
            <w:shd w:val="clear" w:color="auto" w:fill="0048E0"/>
          </w:tcPr>
          <w:p>
            <w:pPr>
              <w:jc w:val="right"/>
              <w:ind w:right="792"/>
              <w:spacing w:after="0"/>
              <w:rPr>
                <w:sz w:val="20"/>
                <w:szCs w:val="20"/>
                <w:color w:val="auto"/>
              </w:rPr>
            </w:pPr>
            <w:r>
              <w:rPr>
                <w:rFonts w:ascii="Arial" w:cs="Arial" w:eastAsia="Arial" w:hAnsi="Arial"/>
                <w:sz w:val="18"/>
                <w:szCs w:val="18"/>
                <w:color w:val="FFFFFE"/>
                <w:w w:val="84"/>
              </w:rPr>
              <w:t>2020</w:t>
            </w:r>
          </w:p>
        </w:tc>
      </w:tr>
      <w:tr>
        <w:trPr>
          <w:trHeight w:val="245"/>
        </w:trPr>
        <w:tc>
          <w:tcPr>
            <w:tcW w:w="1580" w:type="dxa"/>
            <w:vAlign w:val="bottom"/>
            <w:shd w:val="clear" w:color="auto" w:fill="0048E0"/>
          </w:tcPr>
          <w:p>
            <w:pPr>
              <w:spacing w:after="0"/>
              <w:rPr>
                <w:sz w:val="21"/>
                <w:szCs w:val="21"/>
                <w:color w:val="auto"/>
              </w:rPr>
            </w:pPr>
          </w:p>
        </w:tc>
        <w:tc>
          <w:tcPr>
            <w:tcW w:w="2200" w:type="dxa"/>
            <w:vAlign w:val="bottom"/>
            <w:shd w:val="clear" w:color="auto" w:fill="0048E0"/>
          </w:tcPr>
          <w:p>
            <w:pPr>
              <w:spacing w:after="0"/>
              <w:rPr>
                <w:sz w:val="21"/>
                <w:szCs w:val="21"/>
                <w:color w:val="auto"/>
              </w:rPr>
            </w:pPr>
          </w:p>
        </w:tc>
        <w:tc>
          <w:tcPr>
            <w:tcW w:w="2540" w:type="dxa"/>
            <w:vAlign w:val="bottom"/>
            <w:shd w:val="clear" w:color="auto" w:fill="0048E0"/>
          </w:tcPr>
          <w:p>
            <w:pPr>
              <w:spacing w:after="0"/>
              <w:rPr>
                <w:sz w:val="21"/>
                <w:szCs w:val="21"/>
                <w:color w:val="auto"/>
              </w:rPr>
            </w:pPr>
          </w:p>
        </w:tc>
        <w:tc>
          <w:tcPr>
            <w:tcW w:w="1420" w:type="dxa"/>
            <w:vAlign w:val="bottom"/>
            <w:shd w:val="clear" w:color="auto" w:fill="0048E0"/>
          </w:tcPr>
          <w:p>
            <w:pPr>
              <w:spacing w:after="0"/>
              <w:rPr>
                <w:sz w:val="21"/>
                <w:szCs w:val="21"/>
                <w:color w:val="auto"/>
              </w:rPr>
            </w:pPr>
          </w:p>
        </w:tc>
        <w:tc>
          <w:tcPr>
            <w:tcW w:w="1240" w:type="dxa"/>
            <w:vAlign w:val="bottom"/>
            <w:shd w:val="clear" w:color="auto" w:fill="0048E0"/>
          </w:tcPr>
          <w:p>
            <w:pPr>
              <w:spacing w:after="0"/>
              <w:rPr>
                <w:sz w:val="21"/>
                <w:szCs w:val="21"/>
                <w:color w:val="auto"/>
              </w:rPr>
            </w:pPr>
          </w:p>
        </w:tc>
      </w:tr>
      <w:tr>
        <w:trPr>
          <w:trHeight w:val="430"/>
        </w:trPr>
        <w:tc>
          <w:tcPr>
            <w:tcW w:w="3780" w:type="dxa"/>
            <w:vAlign w:val="bottom"/>
            <w:gridSpan w:val="2"/>
            <w:shd w:val="clear" w:color="auto" w:fill="E7E7E8"/>
          </w:tcPr>
          <w:p>
            <w:pPr>
              <w:ind w:left="320"/>
              <w:spacing w:after="0"/>
              <w:rPr>
                <w:sz w:val="20"/>
                <w:szCs w:val="20"/>
                <w:color w:val="auto"/>
              </w:rPr>
            </w:pPr>
            <w:r>
              <w:rPr>
                <w:rFonts w:ascii="Arial" w:cs="Arial" w:eastAsia="Arial" w:hAnsi="Arial"/>
                <w:sz w:val="18"/>
                <w:szCs w:val="18"/>
                <w:b w:val="1"/>
                <w:bCs w:val="1"/>
                <w:i w:val="1"/>
                <w:iCs w:val="1"/>
                <w:color w:val="auto"/>
              </w:rPr>
              <w:t>Independent Director</w:t>
            </w:r>
          </w:p>
        </w:tc>
        <w:tc>
          <w:tcPr>
            <w:tcW w:w="2540" w:type="dxa"/>
            <w:vAlign w:val="bottom"/>
            <w:shd w:val="clear" w:color="auto" w:fill="E7E7E8"/>
          </w:tcPr>
          <w:p>
            <w:pPr>
              <w:spacing w:after="0"/>
              <w:rPr>
                <w:sz w:val="24"/>
                <w:szCs w:val="24"/>
                <w:color w:val="auto"/>
              </w:rPr>
            </w:pPr>
          </w:p>
        </w:tc>
        <w:tc>
          <w:tcPr>
            <w:tcW w:w="1420" w:type="dxa"/>
            <w:vAlign w:val="bottom"/>
            <w:shd w:val="clear" w:color="auto" w:fill="E7E7E8"/>
          </w:tcPr>
          <w:p>
            <w:pPr>
              <w:spacing w:after="0"/>
              <w:rPr>
                <w:sz w:val="24"/>
                <w:szCs w:val="24"/>
                <w:color w:val="auto"/>
              </w:rPr>
            </w:pPr>
          </w:p>
        </w:tc>
        <w:tc>
          <w:tcPr>
            <w:tcW w:w="1240" w:type="dxa"/>
            <w:vAlign w:val="bottom"/>
            <w:shd w:val="clear" w:color="auto" w:fill="E7E7E8"/>
          </w:tcPr>
          <w:p>
            <w:pPr>
              <w:spacing w:after="0"/>
              <w:rPr>
                <w:sz w:val="24"/>
                <w:szCs w:val="24"/>
                <w:color w:val="auto"/>
              </w:rPr>
            </w:pPr>
          </w:p>
        </w:tc>
      </w:tr>
      <w:tr>
        <w:trPr>
          <w:trHeight w:val="432"/>
        </w:trPr>
        <w:tc>
          <w:tcPr>
            <w:tcW w:w="1580" w:type="dxa"/>
            <w:vAlign w:val="bottom"/>
            <w:shd w:val="clear" w:color="auto" w:fill="E7E7E8"/>
          </w:tcPr>
          <w:p>
            <w:pPr>
              <w:ind w:left="320"/>
              <w:spacing w:after="0"/>
              <w:rPr>
                <w:sz w:val="20"/>
                <w:szCs w:val="20"/>
                <w:color w:val="auto"/>
              </w:rPr>
            </w:pPr>
            <w:r>
              <w:rPr>
                <w:rFonts w:ascii="Arial" w:cs="Arial" w:eastAsia="Arial" w:hAnsi="Arial"/>
                <w:sz w:val="18"/>
                <w:szCs w:val="18"/>
                <w:b w:val="1"/>
                <w:bCs w:val="1"/>
                <w:color w:val="auto"/>
              </w:rPr>
              <w:t>Committees:</w:t>
            </w:r>
          </w:p>
        </w:tc>
        <w:tc>
          <w:tcPr>
            <w:tcW w:w="6160" w:type="dxa"/>
            <w:vAlign w:val="bottom"/>
            <w:gridSpan w:val="3"/>
            <w:shd w:val="clear" w:color="auto" w:fill="E7E7E8"/>
          </w:tcPr>
          <w:p>
            <w:pPr>
              <w:jc w:val="right"/>
              <w:spacing w:after="0"/>
              <w:rPr>
                <w:sz w:val="20"/>
                <w:szCs w:val="20"/>
                <w:color w:val="auto"/>
              </w:rPr>
            </w:pPr>
            <w:r>
              <w:rPr>
                <w:rFonts w:ascii="Arial" w:cs="Arial" w:eastAsia="Arial" w:hAnsi="Arial"/>
                <w:sz w:val="18"/>
                <w:szCs w:val="18"/>
                <w:color w:val="auto"/>
                <w:w w:val="90"/>
              </w:rPr>
              <w:t>Governance, Sustainability &amp; Corporate Responsibility and Technology &amp; Operations</w:t>
            </w:r>
          </w:p>
        </w:tc>
        <w:tc>
          <w:tcPr>
            <w:tcW w:w="1240" w:type="dxa"/>
            <w:vAlign w:val="bottom"/>
            <w:shd w:val="clear" w:color="auto" w:fill="E7E7E8"/>
          </w:tcPr>
          <w:p>
            <w:pPr>
              <w:spacing w:after="0"/>
              <w:rPr>
                <w:sz w:val="24"/>
                <w:szCs w:val="24"/>
                <w:color w:val="auto"/>
              </w:rPr>
            </w:pPr>
          </w:p>
        </w:tc>
      </w:tr>
      <w:tr>
        <w:trPr>
          <w:trHeight w:val="218"/>
        </w:trPr>
        <w:tc>
          <w:tcPr>
            <w:tcW w:w="1580" w:type="dxa"/>
            <w:vAlign w:val="bottom"/>
            <w:shd w:val="clear" w:color="auto" w:fill="E7E7E8"/>
          </w:tcPr>
          <w:p>
            <w:pPr>
              <w:spacing w:after="0"/>
              <w:rPr>
                <w:sz w:val="18"/>
                <w:szCs w:val="18"/>
                <w:color w:val="auto"/>
              </w:rPr>
            </w:pPr>
          </w:p>
        </w:tc>
        <w:tc>
          <w:tcPr>
            <w:tcW w:w="2200" w:type="dxa"/>
            <w:vAlign w:val="bottom"/>
            <w:shd w:val="clear" w:color="auto" w:fill="E7E7E8"/>
          </w:tcPr>
          <w:p>
            <w:pPr>
              <w:spacing w:after="0"/>
              <w:rPr>
                <w:sz w:val="18"/>
                <w:szCs w:val="18"/>
                <w:color w:val="auto"/>
              </w:rPr>
            </w:pPr>
          </w:p>
        </w:tc>
        <w:tc>
          <w:tcPr>
            <w:tcW w:w="2540" w:type="dxa"/>
            <w:vAlign w:val="bottom"/>
            <w:shd w:val="clear" w:color="auto" w:fill="E7E7E8"/>
          </w:tcPr>
          <w:p>
            <w:pPr>
              <w:spacing w:after="0"/>
              <w:rPr>
                <w:sz w:val="18"/>
                <w:szCs w:val="18"/>
                <w:color w:val="auto"/>
              </w:rPr>
            </w:pPr>
          </w:p>
        </w:tc>
        <w:tc>
          <w:tcPr>
            <w:tcW w:w="142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r>
    </w:tbl>
    <w:p>
      <w:pPr>
        <w:spacing w:after="0" w:line="235"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Background:</w:t>
      </w:r>
    </w:p>
    <w:p>
      <w:pPr>
        <w:spacing w:after="0" w:line="252" w:lineRule="exact"/>
        <w:rPr>
          <w:sz w:val="20"/>
          <w:szCs w:val="20"/>
          <w:color w:val="auto"/>
        </w:rPr>
      </w:pPr>
    </w:p>
    <w:p>
      <w:pPr>
        <w:ind w:left="1440" w:right="1140"/>
        <w:spacing w:after="0" w:line="285" w:lineRule="auto"/>
        <w:rPr>
          <w:sz w:val="20"/>
          <w:szCs w:val="20"/>
          <w:color w:val="auto"/>
        </w:rPr>
      </w:pPr>
      <w:r>
        <w:rPr>
          <w:rFonts w:ascii="Arial" w:cs="Arial" w:eastAsia="Arial" w:hAnsi="Arial"/>
          <w:sz w:val="16"/>
          <w:szCs w:val="16"/>
          <w:color w:val="auto"/>
        </w:rPr>
        <w:t>Ms. Cherwoo retired as a Senior Partner from Ernst &amp; Young LLP ("EY") in January 2020, after more than 37 years of service, including 28 years as a Client Service Partner with specialized industry focus in private equity, financial services, health care and emerging and disruptive technology companies. Since October 2015, Ms. Cherwoo launched and spearheaded EY's Intelligent Automation program, with a focus on strategic direction, governance and risk management. As part of that role, she also directed EY's investments in robotic process automation ("RPA") and digital transformation initiatives. She also advised a number of Fortune 500 companies on their intelligent automation strategies, including operating models, digital and talent transformation planning, artificial intelligence and blockchain initiatives. Ms. Cherwoo concurrently served as a Senior Advisory Partner in EY's Private Equity practice group since 2009 and as a Global Client Service Partner and Global Tax Account Leader since 1991, where she was responsible for advising on digital transformation, RPA initiatives, complex tax accounting and global tax planning, as well as mergers, acquisitions and divestitures and their impact on business and global tax strategies. From 2001 to 2004, Ms. Cherwoo served as the founding Chief Executive Officer of EY's Global Shared Services operations in Bangalore, India, which was EY's first global offshoring center for client-facing operations. Prior to that, Ms. Cherwoo held various senior leadership roles and other positions since joining EY in the US in 1982 in the audit practice.</w:t>
      </w:r>
    </w:p>
    <w:p>
      <w:pPr>
        <w:spacing w:after="0" w:line="208" w:lineRule="exact"/>
        <w:rPr>
          <w:sz w:val="20"/>
          <w:szCs w:val="20"/>
          <w:color w:val="auto"/>
        </w:rPr>
      </w:pPr>
    </w:p>
    <w:p>
      <w:pPr>
        <w:ind w:left="1440" w:right="1240"/>
        <w:spacing w:after="0" w:line="323" w:lineRule="auto"/>
        <w:rPr>
          <w:sz w:val="20"/>
          <w:szCs w:val="20"/>
          <w:color w:val="auto"/>
        </w:rPr>
      </w:pPr>
      <w:r>
        <w:rPr>
          <w:rFonts w:ascii="Arial" w:cs="Arial" w:eastAsia="Arial" w:hAnsi="Arial"/>
          <w:sz w:val="15"/>
          <w:szCs w:val="15"/>
          <w:color w:val="auto"/>
        </w:rPr>
        <w:t>In addition to her strategic, operational and leadership roles, Ms. Cherwoo has been committed to mentoring and bringing innovative ideas to diversity and inclusiveness efforts. In 2018, she was awarded the American Business Award® Silver Stevie® Award for Most Innovative Woman of the Year in Business Services; in 2017, she received the Gold Stevie® Award for Innovation of the Year for her work in RPA and the 2017 Gold Best in Biz Award for Innovator of the Year.</w:t>
      </w:r>
    </w:p>
    <w:p>
      <w:pPr>
        <w:spacing w:after="0" w:line="178"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Skills &amp; Qualifications:</w:t>
      </w:r>
    </w:p>
    <w:p>
      <w:pPr>
        <w:spacing w:after="0" w:line="252" w:lineRule="exact"/>
        <w:rPr>
          <w:sz w:val="20"/>
          <w:szCs w:val="20"/>
          <w:color w:val="auto"/>
        </w:rPr>
      </w:pPr>
    </w:p>
    <w:p>
      <w:pPr>
        <w:ind w:left="1440" w:right="1160"/>
        <w:spacing w:after="0" w:line="252" w:lineRule="auto"/>
        <w:rPr>
          <w:sz w:val="20"/>
          <w:szCs w:val="20"/>
          <w:color w:val="auto"/>
        </w:rPr>
      </w:pPr>
      <w:r>
        <w:rPr>
          <w:rFonts w:ascii="Arial" w:cs="Arial" w:eastAsia="Arial" w:hAnsi="Arial"/>
          <w:sz w:val="18"/>
          <w:szCs w:val="18"/>
          <w:color w:val="auto"/>
        </w:rPr>
        <w:t>Ms. Cherwoo brings to the Board her significant experience in advising companies on digital transformation initiatives and RPA strategies, including digital and talent transformation planning, artificial intelligence and blockchain initiatives, as well as substantial management experience.</w:t>
      </w:r>
    </w:p>
    <w:p>
      <w:pPr>
        <w:spacing w:after="0" w:line="2"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120" w:type="dxa"/>
        <w:tblCellMar>
          <w:top w:w="0" w:type="dxa"/>
          <w:left w:w="0" w:type="dxa"/>
          <w:bottom w:w="0" w:type="dxa"/>
          <w:right w:w="0" w:type="dxa"/>
        </w:tblCellMar>
      </w:tblPr>
      <w:tr>
        <w:trPr>
          <w:trHeight w:val="430"/>
        </w:trPr>
        <w:tc>
          <w:tcPr>
            <w:tcW w:w="3820" w:type="dxa"/>
            <w:vAlign w:val="bottom"/>
            <w:gridSpan w:val="2"/>
            <w:shd w:val="clear" w:color="auto" w:fill="0048E0"/>
          </w:tcPr>
          <w:p>
            <w:pPr>
              <w:ind w:left="320"/>
              <w:spacing w:after="0"/>
              <w:rPr>
                <w:sz w:val="20"/>
                <w:szCs w:val="20"/>
                <w:color w:val="auto"/>
              </w:rPr>
            </w:pPr>
            <w:r>
              <w:rPr>
                <w:rFonts w:ascii="Arial" w:cs="Arial" w:eastAsia="Arial" w:hAnsi="Arial"/>
                <w:sz w:val="18"/>
                <w:szCs w:val="18"/>
                <w:b w:val="1"/>
                <w:bCs w:val="1"/>
                <w:color w:val="FFFFFE"/>
              </w:rPr>
              <w:t>RICHARD A. KASSAR</w:t>
            </w:r>
          </w:p>
        </w:tc>
        <w:tc>
          <w:tcPr>
            <w:tcW w:w="2600" w:type="dxa"/>
            <w:vAlign w:val="bottom"/>
            <w:shd w:val="clear" w:color="auto" w:fill="0048E0"/>
          </w:tcPr>
          <w:p>
            <w:pPr>
              <w:ind w:left="1700"/>
              <w:spacing w:after="0"/>
              <w:rPr>
                <w:sz w:val="20"/>
                <w:szCs w:val="20"/>
                <w:color w:val="auto"/>
              </w:rPr>
            </w:pPr>
            <w:r>
              <w:rPr>
                <w:rFonts w:ascii="Arial" w:cs="Arial" w:eastAsia="Arial" w:hAnsi="Arial"/>
                <w:sz w:val="18"/>
                <w:szCs w:val="18"/>
                <w:b w:val="1"/>
                <w:bCs w:val="1"/>
                <w:color w:val="FFFFFE"/>
              </w:rPr>
              <w:t xml:space="preserve">Age: </w:t>
            </w:r>
            <w:r>
              <w:rPr>
                <w:rFonts w:ascii="Arial" w:cs="Arial" w:eastAsia="Arial" w:hAnsi="Arial"/>
                <w:sz w:val="18"/>
                <w:szCs w:val="18"/>
                <w:color w:val="FFFFFE"/>
              </w:rPr>
              <w:t>72</w:t>
            </w:r>
          </w:p>
        </w:tc>
        <w:tc>
          <w:tcPr>
            <w:tcW w:w="2560" w:type="dxa"/>
            <w:vAlign w:val="bottom"/>
            <w:shd w:val="clear" w:color="auto" w:fill="0048E0"/>
          </w:tcPr>
          <w:p>
            <w:pPr>
              <w:ind w:left="160"/>
              <w:spacing w:after="0"/>
              <w:rPr>
                <w:sz w:val="20"/>
                <w:szCs w:val="20"/>
                <w:color w:val="auto"/>
              </w:rPr>
            </w:pPr>
            <w:r>
              <w:rPr>
                <w:rFonts w:ascii="Arial" w:cs="Arial" w:eastAsia="Arial" w:hAnsi="Arial"/>
                <w:sz w:val="18"/>
                <w:szCs w:val="18"/>
                <w:b w:val="1"/>
                <w:bCs w:val="1"/>
                <w:color w:val="FFFFFE"/>
              </w:rPr>
              <w:t xml:space="preserve">Director Since: </w:t>
            </w:r>
            <w:r>
              <w:rPr>
                <w:rFonts w:ascii="Arial" w:cs="Arial" w:eastAsia="Arial" w:hAnsi="Arial"/>
                <w:sz w:val="18"/>
                <w:szCs w:val="18"/>
                <w:color w:val="FFFFFE"/>
              </w:rPr>
              <w:t>2002</w:t>
            </w:r>
          </w:p>
        </w:tc>
      </w:tr>
      <w:tr>
        <w:trPr>
          <w:trHeight w:val="245"/>
        </w:trPr>
        <w:tc>
          <w:tcPr>
            <w:tcW w:w="1580" w:type="dxa"/>
            <w:vAlign w:val="bottom"/>
            <w:shd w:val="clear" w:color="auto" w:fill="0048E0"/>
          </w:tcPr>
          <w:p>
            <w:pPr>
              <w:spacing w:after="0"/>
              <w:rPr>
                <w:sz w:val="21"/>
                <w:szCs w:val="21"/>
                <w:color w:val="auto"/>
              </w:rPr>
            </w:pPr>
          </w:p>
        </w:tc>
        <w:tc>
          <w:tcPr>
            <w:tcW w:w="2240" w:type="dxa"/>
            <w:vAlign w:val="bottom"/>
            <w:shd w:val="clear" w:color="auto" w:fill="0048E0"/>
          </w:tcPr>
          <w:p>
            <w:pPr>
              <w:spacing w:after="0"/>
              <w:rPr>
                <w:sz w:val="21"/>
                <w:szCs w:val="21"/>
                <w:color w:val="auto"/>
              </w:rPr>
            </w:pPr>
          </w:p>
        </w:tc>
        <w:tc>
          <w:tcPr>
            <w:tcW w:w="2600" w:type="dxa"/>
            <w:vAlign w:val="bottom"/>
            <w:shd w:val="clear" w:color="auto" w:fill="0048E0"/>
          </w:tcPr>
          <w:p>
            <w:pPr>
              <w:spacing w:after="0"/>
              <w:rPr>
                <w:sz w:val="21"/>
                <w:szCs w:val="21"/>
                <w:color w:val="auto"/>
              </w:rPr>
            </w:pPr>
          </w:p>
        </w:tc>
        <w:tc>
          <w:tcPr>
            <w:tcW w:w="2560" w:type="dxa"/>
            <w:vAlign w:val="bottom"/>
            <w:shd w:val="clear" w:color="auto" w:fill="0048E0"/>
          </w:tcPr>
          <w:p>
            <w:pPr>
              <w:spacing w:after="0"/>
              <w:rPr>
                <w:sz w:val="21"/>
                <w:szCs w:val="21"/>
                <w:color w:val="auto"/>
              </w:rPr>
            </w:pPr>
          </w:p>
        </w:tc>
      </w:tr>
      <w:tr>
        <w:trPr>
          <w:trHeight w:val="430"/>
        </w:trPr>
        <w:tc>
          <w:tcPr>
            <w:tcW w:w="3820" w:type="dxa"/>
            <w:vAlign w:val="bottom"/>
            <w:gridSpan w:val="2"/>
            <w:shd w:val="clear" w:color="auto" w:fill="E7E7E8"/>
          </w:tcPr>
          <w:p>
            <w:pPr>
              <w:ind w:left="320"/>
              <w:spacing w:after="0"/>
              <w:rPr>
                <w:sz w:val="20"/>
                <w:szCs w:val="20"/>
                <w:color w:val="auto"/>
              </w:rPr>
            </w:pPr>
            <w:r>
              <w:rPr>
                <w:rFonts w:ascii="Arial" w:cs="Arial" w:eastAsia="Arial" w:hAnsi="Arial"/>
                <w:sz w:val="18"/>
                <w:szCs w:val="18"/>
                <w:b w:val="1"/>
                <w:bCs w:val="1"/>
                <w:i w:val="1"/>
                <w:iCs w:val="1"/>
                <w:color w:val="auto"/>
              </w:rPr>
              <w:t>Independent Director</w:t>
            </w:r>
          </w:p>
        </w:tc>
        <w:tc>
          <w:tcPr>
            <w:tcW w:w="2600" w:type="dxa"/>
            <w:vAlign w:val="bottom"/>
            <w:shd w:val="clear" w:color="auto" w:fill="E7E7E8"/>
          </w:tcPr>
          <w:p>
            <w:pPr>
              <w:spacing w:after="0"/>
              <w:rPr>
                <w:sz w:val="24"/>
                <w:szCs w:val="24"/>
                <w:color w:val="auto"/>
              </w:rPr>
            </w:pPr>
          </w:p>
        </w:tc>
        <w:tc>
          <w:tcPr>
            <w:tcW w:w="2560" w:type="dxa"/>
            <w:vAlign w:val="bottom"/>
            <w:shd w:val="clear" w:color="auto" w:fill="E7E7E8"/>
          </w:tcPr>
          <w:p>
            <w:pPr>
              <w:spacing w:after="0"/>
              <w:rPr>
                <w:sz w:val="24"/>
                <w:szCs w:val="24"/>
                <w:color w:val="auto"/>
              </w:rPr>
            </w:pPr>
          </w:p>
        </w:tc>
      </w:tr>
      <w:tr>
        <w:trPr>
          <w:trHeight w:val="432"/>
        </w:trPr>
        <w:tc>
          <w:tcPr>
            <w:tcW w:w="1580" w:type="dxa"/>
            <w:vAlign w:val="bottom"/>
            <w:shd w:val="clear" w:color="auto" w:fill="E7E7E8"/>
          </w:tcPr>
          <w:p>
            <w:pPr>
              <w:ind w:left="320"/>
              <w:spacing w:after="0"/>
              <w:rPr>
                <w:sz w:val="20"/>
                <w:szCs w:val="20"/>
                <w:color w:val="auto"/>
              </w:rPr>
            </w:pPr>
            <w:r>
              <w:rPr>
                <w:rFonts w:ascii="Arial" w:cs="Arial" w:eastAsia="Arial" w:hAnsi="Arial"/>
                <w:sz w:val="18"/>
                <w:szCs w:val="18"/>
                <w:b w:val="1"/>
                <w:bCs w:val="1"/>
                <w:color w:val="auto"/>
              </w:rPr>
              <w:t>Committees:</w:t>
            </w:r>
          </w:p>
        </w:tc>
        <w:tc>
          <w:tcPr>
            <w:tcW w:w="484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w w:val="91"/>
              </w:rPr>
              <w:t>Audit, Compensation, Governance and Technology &amp; Operations</w:t>
            </w:r>
          </w:p>
        </w:tc>
        <w:tc>
          <w:tcPr>
            <w:tcW w:w="2560" w:type="dxa"/>
            <w:vAlign w:val="bottom"/>
            <w:shd w:val="clear" w:color="auto" w:fill="E7E7E8"/>
          </w:tcPr>
          <w:p>
            <w:pPr>
              <w:spacing w:after="0"/>
              <w:rPr>
                <w:sz w:val="24"/>
                <w:szCs w:val="24"/>
                <w:color w:val="auto"/>
              </w:rPr>
            </w:pPr>
          </w:p>
        </w:tc>
      </w:tr>
      <w:tr>
        <w:trPr>
          <w:trHeight w:val="218"/>
        </w:trPr>
        <w:tc>
          <w:tcPr>
            <w:tcW w:w="1580" w:type="dxa"/>
            <w:vAlign w:val="bottom"/>
            <w:shd w:val="clear" w:color="auto" w:fill="E7E7E8"/>
          </w:tcPr>
          <w:p>
            <w:pPr>
              <w:spacing w:after="0"/>
              <w:rPr>
                <w:sz w:val="18"/>
                <w:szCs w:val="18"/>
                <w:color w:val="auto"/>
              </w:rPr>
            </w:pPr>
          </w:p>
        </w:tc>
        <w:tc>
          <w:tcPr>
            <w:tcW w:w="2240" w:type="dxa"/>
            <w:vAlign w:val="bottom"/>
            <w:shd w:val="clear" w:color="auto" w:fill="E7E7E8"/>
          </w:tcPr>
          <w:p>
            <w:pPr>
              <w:spacing w:after="0"/>
              <w:rPr>
                <w:sz w:val="18"/>
                <w:szCs w:val="18"/>
                <w:color w:val="auto"/>
              </w:rPr>
            </w:pPr>
          </w:p>
        </w:tc>
        <w:tc>
          <w:tcPr>
            <w:tcW w:w="2600" w:type="dxa"/>
            <w:vAlign w:val="bottom"/>
            <w:shd w:val="clear" w:color="auto" w:fill="E7E7E8"/>
          </w:tcPr>
          <w:p>
            <w:pPr>
              <w:spacing w:after="0"/>
              <w:rPr>
                <w:sz w:val="18"/>
                <w:szCs w:val="18"/>
                <w:color w:val="auto"/>
              </w:rPr>
            </w:pPr>
          </w:p>
        </w:tc>
        <w:tc>
          <w:tcPr>
            <w:tcW w:w="2560" w:type="dxa"/>
            <w:vAlign w:val="bottom"/>
            <w:shd w:val="clear" w:color="auto" w:fill="E7E7E8"/>
          </w:tcPr>
          <w:p>
            <w:pPr>
              <w:spacing w:after="0"/>
              <w:rPr>
                <w:sz w:val="18"/>
                <w:szCs w:val="18"/>
                <w:color w:val="auto"/>
              </w:rPr>
            </w:pPr>
          </w:p>
        </w:tc>
      </w:tr>
    </w:tbl>
    <w:p>
      <w:pPr>
        <w:spacing w:after="0" w:line="235"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Background:</w:t>
      </w:r>
    </w:p>
    <w:p>
      <w:pPr>
        <w:spacing w:after="0" w:line="252" w:lineRule="exact"/>
        <w:rPr>
          <w:sz w:val="20"/>
          <w:szCs w:val="20"/>
          <w:color w:val="auto"/>
        </w:rPr>
      </w:pPr>
    </w:p>
    <w:p>
      <w:pPr>
        <w:ind w:left="1440" w:right="1200"/>
        <w:spacing w:after="0" w:line="285" w:lineRule="auto"/>
        <w:rPr>
          <w:sz w:val="20"/>
          <w:szCs w:val="20"/>
          <w:color w:val="auto"/>
        </w:rPr>
      </w:pPr>
      <w:r>
        <w:rPr>
          <w:rFonts w:ascii="Arial" w:cs="Arial" w:eastAsia="Arial" w:hAnsi="Arial"/>
          <w:sz w:val="16"/>
          <w:szCs w:val="16"/>
          <w:color w:val="auto"/>
        </w:rPr>
        <w:t>Mr. Kassar is the Chief Financial Officer of Freshpet Company, a Nasdaq company [FRPT] since July 2014 and is currently a principal of Go7Brands, LLC, a brand management company, where he also serves as Senior Vice President and Chief Financial Officer. Previously, Mr. Kassar had served as President of Freshpet Company from January 2011 to July 2014 and as Chief Executive Officer from October 2006 to December 2010. From February 2002 to July 2006, Mr. Kassar was the Senior Vice President and Chief Financial Officer of The Meow Mix Company, a cat food company. From May 2001 to January 2002, he was self-employed as a consultant to venture capital firms, advising them primarily on the acquisition of consumer brands. From December 1999 to May 2001, Mr. Kassar was employed as Co-President and Chief Financial Officer of Global Household Brands, a manufacturer of household products. From 1986 to December 1999, he was employed by Chock Full O'Nuts, a coffee company, in various positions, and most recently served as Senior Vice President and Chief Operating Officer. Mr. Kassar also served as a director, member of the compensation committee and chairman of the audit committee of Vaughan Foods, Inc., a Nasdaq company until March 2010, which was sold in October 2011. Until March 2010, Mr. Kassar also served as a director, member of the compensation committee and chairman of the audit committee of Velocity Express, Inc., a Nasdaq company until August 2009, which was sold in November 2009. Mr. Kassar is the first cousin of Michael J. Kasbar, our Chairman, President and Chief Executive Officer.</w:t>
      </w:r>
    </w:p>
    <w:p>
      <w:pPr>
        <w:spacing w:after="0" w:line="208"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Skills &amp; Qualifications:</w:t>
      </w:r>
    </w:p>
    <w:p>
      <w:pPr>
        <w:spacing w:after="0" w:line="252" w:lineRule="exact"/>
        <w:rPr>
          <w:sz w:val="20"/>
          <w:szCs w:val="20"/>
          <w:color w:val="auto"/>
        </w:rPr>
      </w:pPr>
    </w:p>
    <w:p>
      <w:pPr>
        <w:ind w:left="1440" w:right="1160"/>
        <w:spacing w:after="0" w:line="268" w:lineRule="auto"/>
        <w:rPr>
          <w:sz w:val="20"/>
          <w:szCs w:val="20"/>
          <w:color w:val="auto"/>
        </w:rPr>
      </w:pPr>
      <w:r>
        <w:rPr>
          <w:rFonts w:ascii="Arial" w:cs="Arial" w:eastAsia="Arial" w:hAnsi="Arial"/>
          <w:sz w:val="18"/>
          <w:szCs w:val="18"/>
          <w:color w:val="auto"/>
        </w:rPr>
        <w:t>Mr. Kassar brings to the Board his extensive executive experience in brand management, consumer products and corporate finance and has significant experience as a senior finance executive.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430"/>
        </w:trPr>
        <w:tc>
          <w:tcPr>
            <w:tcW w:w="3700" w:type="dxa"/>
            <w:vAlign w:val="bottom"/>
            <w:gridSpan w:val="2"/>
            <w:shd w:val="clear" w:color="auto" w:fill="0048E0"/>
          </w:tcPr>
          <w:p>
            <w:pPr>
              <w:ind w:left="320"/>
              <w:spacing w:after="0"/>
              <w:rPr>
                <w:sz w:val="20"/>
                <w:szCs w:val="20"/>
                <w:color w:val="auto"/>
              </w:rPr>
            </w:pPr>
            <w:r>
              <w:rPr>
                <w:rFonts w:ascii="Arial" w:cs="Arial" w:eastAsia="Arial" w:hAnsi="Arial"/>
                <w:sz w:val="18"/>
                <w:szCs w:val="18"/>
                <w:b w:val="1"/>
                <w:bCs w:val="1"/>
                <w:color w:val="FFFFFE"/>
              </w:rPr>
              <w:t>JOHN L. MANLEY</w:t>
            </w:r>
          </w:p>
        </w:tc>
        <w:tc>
          <w:tcPr>
            <w:tcW w:w="2640" w:type="dxa"/>
            <w:vAlign w:val="bottom"/>
            <w:shd w:val="clear" w:color="auto" w:fill="0048E0"/>
          </w:tcPr>
          <w:p>
            <w:pPr>
              <w:ind w:left="1820"/>
              <w:spacing w:after="0"/>
              <w:rPr>
                <w:sz w:val="20"/>
                <w:szCs w:val="20"/>
                <w:color w:val="auto"/>
              </w:rPr>
            </w:pPr>
            <w:r>
              <w:rPr>
                <w:rFonts w:ascii="Arial" w:cs="Arial" w:eastAsia="Arial" w:hAnsi="Arial"/>
                <w:sz w:val="18"/>
                <w:szCs w:val="18"/>
                <w:b w:val="1"/>
                <w:bCs w:val="1"/>
                <w:color w:val="FFFFFE"/>
              </w:rPr>
              <w:t xml:space="preserve">Age: </w:t>
            </w:r>
            <w:r>
              <w:rPr>
                <w:rFonts w:ascii="Arial" w:cs="Arial" w:eastAsia="Arial" w:hAnsi="Arial"/>
                <w:sz w:val="18"/>
                <w:szCs w:val="18"/>
                <w:color w:val="FFFFFE"/>
              </w:rPr>
              <w:t>71</w:t>
            </w:r>
          </w:p>
        </w:tc>
        <w:tc>
          <w:tcPr>
            <w:tcW w:w="2640" w:type="dxa"/>
            <w:vAlign w:val="bottom"/>
            <w:shd w:val="clear" w:color="auto" w:fill="0048E0"/>
          </w:tcPr>
          <w:p>
            <w:pPr>
              <w:ind w:left="240"/>
              <w:spacing w:after="0"/>
              <w:rPr>
                <w:sz w:val="20"/>
                <w:szCs w:val="20"/>
                <w:color w:val="auto"/>
              </w:rPr>
            </w:pPr>
            <w:r>
              <w:rPr>
                <w:rFonts w:ascii="Arial" w:cs="Arial" w:eastAsia="Arial" w:hAnsi="Arial"/>
                <w:sz w:val="18"/>
                <w:szCs w:val="18"/>
                <w:b w:val="1"/>
                <w:bCs w:val="1"/>
                <w:color w:val="FFFFFE"/>
              </w:rPr>
              <w:t xml:space="preserve">Director Since: </w:t>
            </w:r>
            <w:r>
              <w:rPr>
                <w:rFonts w:ascii="Arial" w:cs="Arial" w:eastAsia="Arial" w:hAnsi="Arial"/>
                <w:sz w:val="18"/>
                <w:szCs w:val="18"/>
                <w:color w:val="FFFFFE"/>
              </w:rPr>
              <w:t>2010</w:t>
            </w:r>
          </w:p>
        </w:tc>
      </w:tr>
      <w:tr>
        <w:trPr>
          <w:trHeight w:val="245"/>
        </w:trPr>
        <w:tc>
          <w:tcPr>
            <w:tcW w:w="1580" w:type="dxa"/>
            <w:vAlign w:val="bottom"/>
            <w:shd w:val="clear" w:color="auto" w:fill="0048E0"/>
          </w:tcPr>
          <w:p>
            <w:pPr>
              <w:spacing w:after="0"/>
              <w:rPr>
                <w:sz w:val="21"/>
                <w:szCs w:val="21"/>
                <w:color w:val="auto"/>
              </w:rPr>
            </w:pPr>
          </w:p>
        </w:tc>
        <w:tc>
          <w:tcPr>
            <w:tcW w:w="2120" w:type="dxa"/>
            <w:vAlign w:val="bottom"/>
            <w:shd w:val="clear" w:color="auto" w:fill="0048E0"/>
          </w:tcPr>
          <w:p>
            <w:pPr>
              <w:spacing w:after="0"/>
              <w:rPr>
                <w:sz w:val="21"/>
                <w:szCs w:val="21"/>
                <w:color w:val="auto"/>
              </w:rPr>
            </w:pPr>
          </w:p>
        </w:tc>
        <w:tc>
          <w:tcPr>
            <w:tcW w:w="2640" w:type="dxa"/>
            <w:vAlign w:val="bottom"/>
            <w:shd w:val="clear" w:color="auto" w:fill="0048E0"/>
          </w:tcPr>
          <w:p>
            <w:pPr>
              <w:spacing w:after="0"/>
              <w:rPr>
                <w:sz w:val="21"/>
                <w:szCs w:val="21"/>
                <w:color w:val="auto"/>
              </w:rPr>
            </w:pPr>
          </w:p>
        </w:tc>
        <w:tc>
          <w:tcPr>
            <w:tcW w:w="2640" w:type="dxa"/>
            <w:vAlign w:val="bottom"/>
            <w:shd w:val="clear" w:color="auto" w:fill="0048E0"/>
          </w:tcPr>
          <w:p>
            <w:pPr>
              <w:spacing w:after="0"/>
              <w:rPr>
                <w:sz w:val="21"/>
                <w:szCs w:val="21"/>
                <w:color w:val="auto"/>
              </w:rPr>
            </w:pPr>
          </w:p>
        </w:tc>
      </w:tr>
      <w:tr>
        <w:trPr>
          <w:trHeight w:val="430"/>
        </w:trPr>
        <w:tc>
          <w:tcPr>
            <w:tcW w:w="3700" w:type="dxa"/>
            <w:vAlign w:val="bottom"/>
            <w:gridSpan w:val="2"/>
            <w:shd w:val="clear" w:color="auto" w:fill="E7E7E8"/>
          </w:tcPr>
          <w:p>
            <w:pPr>
              <w:ind w:left="320"/>
              <w:spacing w:after="0"/>
              <w:rPr>
                <w:sz w:val="20"/>
                <w:szCs w:val="20"/>
                <w:color w:val="auto"/>
              </w:rPr>
            </w:pPr>
            <w:r>
              <w:rPr>
                <w:rFonts w:ascii="Arial" w:cs="Arial" w:eastAsia="Arial" w:hAnsi="Arial"/>
                <w:sz w:val="18"/>
                <w:szCs w:val="18"/>
                <w:b w:val="1"/>
                <w:bCs w:val="1"/>
                <w:i w:val="1"/>
                <w:iCs w:val="1"/>
                <w:color w:val="auto"/>
              </w:rPr>
              <w:t>Independent Director</w:t>
            </w:r>
          </w:p>
        </w:tc>
        <w:tc>
          <w:tcPr>
            <w:tcW w:w="2640" w:type="dxa"/>
            <w:vAlign w:val="bottom"/>
            <w:shd w:val="clear" w:color="auto" w:fill="E7E7E8"/>
          </w:tcPr>
          <w:p>
            <w:pPr>
              <w:spacing w:after="0"/>
              <w:rPr>
                <w:sz w:val="24"/>
                <w:szCs w:val="24"/>
                <w:color w:val="auto"/>
              </w:rPr>
            </w:pPr>
          </w:p>
        </w:tc>
        <w:tc>
          <w:tcPr>
            <w:tcW w:w="2640" w:type="dxa"/>
            <w:vAlign w:val="bottom"/>
            <w:shd w:val="clear" w:color="auto" w:fill="E7E7E8"/>
          </w:tcPr>
          <w:p>
            <w:pPr>
              <w:spacing w:after="0"/>
              <w:rPr>
                <w:sz w:val="24"/>
                <w:szCs w:val="24"/>
                <w:color w:val="auto"/>
              </w:rPr>
            </w:pPr>
          </w:p>
        </w:tc>
      </w:tr>
      <w:tr>
        <w:trPr>
          <w:trHeight w:val="432"/>
        </w:trPr>
        <w:tc>
          <w:tcPr>
            <w:tcW w:w="1580" w:type="dxa"/>
            <w:vAlign w:val="bottom"/>
            <w:shd w:val="clear" w:color="auto" w:fill="E7E7E8"/>
          </w:tcPr>
          <w:p>
            <w:pPr>
              <w:ind w:left="320"/>
              <w:spacing w:after="0"/>
              <w:rPr>
                <w:sz w:val="20"/>
                <w:szCs w:val="20"/>
                <w:color w:val="auto"/>
              </w:rPr>
            </w:pPr>
            <w:r>
              <w:rPr>
                <w:rFonts w:ascii="Arial" w:cs="Arial" w:eastAsia="Arial" w:hAnsi="Arial"/>
                <w:sz w:val="18"/>
                <w:szCs w:val="18"/>
                <w:b w:val="1"/>
                <w:bCs w:val="1"/>
                <w:color w:val="auto"/>
              </w:rPr>
              <w:t>Committees:</w:t>
            </w:r>
          </w:p>
        </w:tc>
        <w:tc>
          <w:tcPr>
            <w:tcW w:w="476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Audit (Chair), Governance and Technology &amp; Operations</w:t>
            </w:r>
          </w:p>
        </w:tc>
        <w:tc>
          <w:tcPr>
            <w:tcW w:w="2640" w:type="dxa"/>
            <w:vAlign w:val="bottom"/>
            <w:shd w:val="clear" w:color="auto" w:fill="E7E7E8"/>
          </w:tcPr>
          <w:p>
            <w:pPr>
              <w:spacing w:after="0"/>
              <w:rPr>
                <w:sz w:val="24"/>
                <w:szCs w:val="24"/>
                <w:color w:val="auto"/>
              </w:rPr>
            </w:pPr>
          </w:p>
        </w:tc>
      </w:tr>
      <w:tr>
        <w:trPr>
          <w:trHeight w:val="218"/>
        </w:trPr>
        <w:tc>
          <w:tcPr>
            <w:tcW w:w="1580" w:type="dxa"/>
            <w:vAlign w:val="bottom"/>
            <w:shd w:val="clear" w:color="auto" w:fill="E7E7E8"/>
          </w:tcPr>
          <w:p>
            <w:pPr>
              <w:spacing w:after="0"/>
              <w:rPr>
                <w:sz w:val="18"/>
                <w:szCs w:val="18"/>
                <w:color w:val="auto"/>
              </w:rPr>
            </w:pPr>
          </w:p>
        </w:tc>
        <w:tc>
          <w:tcPr>
            <w:tcW w:w="2120" w:type="dxa"/>
            <w:vAlign w:val="bottom"/>
            <w:shd w:val="clear" w:color="auto" w:fill="E7E7E8"/>
          </w:tcPr>
          <w:p>
            <w:pPr>
              <w:spacing w:after="0"/>
              <w:rPr>
                <w:sz w:val="18"/>
                <w:szCs w:val="18"/>
                <w:color w:val="auto"/>
              </w:rPr>
            </w:pPr>
          </w:p>
        </w:tc>
        <w:tc>
          <w:tcPr>
            <w:tcW w:w="2640" w:type="dxa"/>
            <w:vAlign w:val="bottom"/>
            <w:shd w:val="clear" w:color="auto" w:fill="E7E7E8"/>
          </w:tcPr>
          <w:p>
            <w:pPr>
              <w:spacing w:after="0"/>
              <w:rPr>
                <w:sz w:val="18"/>
                <w:szCs w:val="18"/>
                <w:color w:val="auto"/>
              </w:rPr>
            </w:pPr>
          </w:p>
        </w:tc>
        <w:tc>
          <w:tcPr>
            <w:tcW w:w="2640" w:type="dxa"/>
            <w:vAlign w:val="bottom"/>
            <w:shd w:val="clear" w:color="auto" w:fill="E7E7E8"/>
          </w:tcPr>
          <w:p>
            <w:pPr>
              <w:spacing w:after="0"/>
              <w:rPr>
                <w:sz w:val="18"/>
                <w:szCs w:val="18"/>
                <w:color w:val="auto"/>
              </w:rPr>
            </w:pPr>
          </w:p>
        </w:tc>
      </w:tr>
    </w:tbl>
    <w:p>
      <w:pPr>
        <w:spacing w:after="0" w:line="235"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Background:</w:t>
      </w:r>
    </w:p>
    <w:p>
      <w:pPr>
        <w:spacing w:after="0" w:line="252" w:lineRule="exact"/>
        <w:rPr>
          <w:sz w:val="20"/>
          <w:szCs w:val="20"/>
          <w:color w:val="auto"/>
        </w:rPr>
      </w:pPr>
    </w:p>
    <w:p>
      <w:pPr>
        <w:ind w:left="1440" w:right="1140"/>
        <w:spacing w:after="0" w:line="288" w:lineRule="auto"/>
        <w:rPr>
          <w:sz w:val="20"/>
          <w:szCs w:val="20"/>
          <w:color w:val="auto"/>
        </w:rPr>
      </w:pPr>
      <w:r>
        <w:rPr>
          <w:rFonts w:ascii="Arial" w:cs="Arial" w:eastAsia="Arial" w:hAnsi="Arial"/>
          <w:sz w:val="16"/>
          <w:szCs w:val="16"/>
          <w:color w:val="auto"/>
        </w:rPr>
        <w:t>Mr. Manley retired from Deloitte &amp; Touche LLP in 2009 after more than 27 years as a partner, the last three years of which Mr. Manley was Managing Partner of Deloitte's Northeast Region Audit and Enterprise Risk Services Practice. Mr. Manley founded and was the National Director of Deloitte's Regulatory Consulting Practice, which included practices in financial services, health care, government contracting, energy and utilities. Before joining Deloitte, Mr. Manley had seven years of regulatory experience with the SEC and the Commodity Futures Trading Commission, or CFTC, in various positions, including serving as the Chief Accountant and Director of the Division of Trading and Markets of the CFTC. Mr. Manley served as a director and Chairman of the audit committee of UBS Trust Company N.A. from 2013 to August 2015. Mr. Manley is a Certified Public Accountant, on inactive status.</w:t>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Skills &amp; Qualifications:</w:t>
      </w:r>
    </w:p>
    <w:p>
      <w:pPr>
        <w:spacing w:after="0" w:line="252" w:lineRule="exact"/>
        <w:rPr>
          <w:sz w:val="20"/>
          <w:szCs w:val="20"/>
          <w:color w:val="auto"/>
        </w:rPr>
      </w:pPr>
    </w:p>
    <w:p>
      <w:pPr>
        <w:ind w:left="1440" w:right="1460"/>
        <w:spacing w:after="0" w:line="254" w:lineRule="auto"/>
        <w:rPr>
          <w:sz w:val="20"/>
          <w:szCs w:val="20"/>
          <w:color w:val="auto"/>
        </w:rPr>
      </w:pPr>
      <w:r>
        <w:rPr>
          <w:rFonts w:ascii="Arial" w:cs="Arial" w:eastAsia="Arial" w:hAnsi="Arial"/>
          <w:sz w:val="18"/>
          <w:szCs w:val="18"/>
          <w:color w:val="auto"/>
        </w:rPr>
        <w:t>Mr. Manley brings to the Board extensive executive management, financial reporting, risk management and regulatory experience.</w:t>
      </w: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120" w:type="dxa"/>
        <w:tblCellMar>
          <w:top w:w="0" w:type="dxa"/>
          <w:left w:w="0" w:type="dxa"/>
          <w:bottom w:w="0" w:type="dxa"/>
          <w:right w:w="0" w:type="dxa"/>
        </w:tblCellMar>
      </w:tblPr>
      <w:tr>
        <w:trPr>
          <w:trHeight w:val="430"/>
        </w:trPr>
        <w:tc>
          <w:tcPr>
            <w:tcW w:w="4740" w:type="dxa"/>
            <w:vAlign w:val="bottom"/>
            <w:gridSpan w:val="2"/>
            <w:shd w:val="clear" w:color="auto" w:fill="0048E0"/>
          </w:tcPr>
          <w:p>
            <w:pPr>
              <w:ind w:left="320"/>
              <w:spacing w:after="0"/>
              <w:rPr>
                <w:sz w:val="20"/>
                <w:szCs w:val="20"/>
                <w:color w:val="auto"/>
              </w:rPr>
            </w:pPr>
            <w:r>
              <w:rPr>
                <w:rFonts w:ascii="Arial" w:cs="Arial" w:eastAsia="Arial" w:hAnsi="Arial"/>
                <w:sz w:val="18"/>
                <w:szCs w:val="18"/>
                <w:b w:val="1"/>
                <w:bCs w:val="1"/>
                <w:color w:val="FFFFFE"/>
              </w:rPr>
              <w:t>STEPHEN K. RODDENBERRY</w:t>
            </w:r>
          </w:p>
        </w:tc>
        <w:tc>
          <w:tcPr>
            <w:tcW w:w="1600" w:type="dxa"/>
            <w:vAlign w:val="bottom"/>
            <w:shd w:val="clear" w:color="auto" w:fill="0048E0"/>
          </w:tcPr>
          <w:p>
            <w:pPr>
              <w:ind w:left="820"/>
              <w:spacing w:after="0"/>
              <w:rPr>
                <w:sz w:val="20"/>
                <w:szCs w:val="20"/>
                <w:color w:val="auto"/>
              </w:rPr>
            </w:pPr>
            <w:r>
              <w:rPr>
                <w:rFonts w:ascii="Arial" w:cs="Arial" w:eastAsia="Arial" w:hAnsi="Arial"/>
                <w:sz w:val="18"/>
                <w:szCs w:val="18"/>
                <w:b w:val="1"/>
                <w:bCs w:val="1"/>
                <w:color w:val="FFFFFE"/>
              </w:rPr>
              <w:t xml:space="preserve">Age: </w:t>
            </w:r>
            <w:r>
              <w:rPr>
                <w:rFonts w:ascii="Arial" w:cs="Arial" w:eastAsia="Arial" w:hAnsi="Arial"/>
                <w:sz w:val="18"/>
                <w:szCs w:val="18"/>
                <w:color w:val="FFFFFE"/>
              </w:rPr>
              <w:t>71</w:t>
            </w:r>
          </w:p>
        </w:tc>
        <w:tc>
          <w:tcPr>
            <w:tcW w:w="2640" w:type="dxa"/>
            <w:vAlign w:val="bottom"/>
            <w:shd w:val="clear" w:color="auto" w:fill="0048E0"/>
          </w:tcPr>
          <w:p>
            <w:pPr>
              <w:ind w:left="240"/>
              <w:spacing w:after="0"/>
              <w:rPr>
                <w:sz w:val="20"/>
                <w:szCs w:val="20"/>
                <w:color w:val="auto"/>
              </w:rPr>
            </w:pPr>
            <w:r>
              <w:rPr>
                <w:rFonts w:ascii="Arial" w:cs="Arial" w:eastAsia="Arial" w:hAnsi="Arial"/>
                <w:sz w:val="18"/>
                <w:szCs w:val="18"/>
                <w:b w:val="1"/>
                <w:bCs w:val="1"/>
                <w:color w:val="FFFFFE"/>
              </w:rPr>
              <w:t xml:space="preserve">Director Since: </w:t>
            </w:r>
            <w:r>
              <w:rPr>
                <w:rFonts w:ascii="Arial" w:cs="Arial" w:eastAsia="Arial" w:hAnsi="Arial"/>
                <w:sz w:val="18"/>
                <w:szCs w:val="18"/>
                <w:color w:val="FFFFFE"/>
              </w:rPr>
              <w:t>2006</w:t>
            </w:r>
          </w:p>
        </w:tc>
      </w:tr>
      <w:tr>
        <w:trPr>
          <w:trHeight w:val="245"/>
        </w:trPr>
        <w:tc>
          <w:tcPr>
            <w:tcW w:w="1620" w:type="dxa"/>
            <w:vAlign w:val="bottom"/>
            <w:shd w:val="clear" w:color="auto" w:fill="0048E0"/>
          </w:tcPr>
          <w:p>
            <w:pPr>
              <w:spacing w:after="0"/>
              <w:rPr>
                <w:sz w:val="21"/>
                <w:szCs w:val="21"/>
                <w:color w:val="auto"/>
              </w:rPr>
            </w:pPr>
          </w:p>
        </w:tc>
        <w:tc>
          <w:tcPr>
            <w:tcW w:w="3120" w:type="dxa"/>
            <w:vAlign w:val="bottom"/>
            <w:shd w:val="clear" w:color="auto" w:fill="0048E0"/>
          </w:tcPr>
          <w:p>
            <w:pPr>
              <w:spacing w:after="0"/>
              <w:rPr>
                <w:sz w:val="21"/>
                <w:szCs w:val="21"/>
                <w:color w:val="auto"/>
              </w:rPr>
            </w:pPr>
          </w:p>
        </w:tc>
        <w:tc>
          <w:tcPr>
            <w:tcW w:w="1600" w:type="dxa"/>
            <w:vAlign w:val="bottom"/>
            <w:shd w:val="clear" w:color="auto" w:fill="0048E0"/>
          </w:tcPr>
          <w:p>
            <w:pPr>
              <w:spacing w:after="0"/>
              <w:rPr>
                <w:sz w:val="21"/>
                <w:szCs w:val="21"/>
                <w:color w:val="auto"/>
              </w:rPr>
            </w:pPr>
          </w:p>
        </w:tc>
        <w:tc>
          <w:tcPr>
            <w:tcW w:w="2640" w:type="dxa"/>
            <w:vAlign w:val="bottom"/>
            <w:shd w:val="clear" w:color="auto" w:fill="0048E0"/>
          </w:tcPr>
          <w:p>
            <w:pPr>
              <w:spacing w:after="0"/>
              <w:rPr>
                <w:sz w:val="21"/>
                <w:szCs w:val="21"/>
                <w:color w:val="auto"/>
              </w:rPr>
            </w:pPr>
          </w:p>
        </w:tc>
      </w:tr>
      <w:tr>
        <w:trPr>
          <w:trHeight w:val="430"/>
        </w:trPr>
        <w:tc>
          <w:tcPr>
            <w:tcW w:w="4740" w:type="dxa"/>
            <w:vAlign w:val="bottom"/>
            <w:gridSpan w:val="2"/>
            <w:shd w:val="clear" w:color="auto" w:fill="E7E7E8"/>
          </w:tcPr>
          <w:p>
            <w:pPr>
              <w:ind w:left="320"/>
              <w:spacing w:after="0"/>
              <w:rPr>
                <w:sz w:val="20"/>
                <w:szCs w:val="20"/>
                <w:color w:val="auto"/>
              </w:rPr>
            </w:pPr>
            <w:r>
              <w:rPr>
                <w:rFonts w:ascii="Arial" w:cs="Arial" w:eastAsia="Arial" w:hAnsi="Arial"/>
                <w:sz w:val="18"/>
                <w:szCs w:val="18"/>
                <w:b w:val="1"/>
                <w:bCs w:val="1"/>
                <w:i w:val="1"/>
                <w:iCs w:val="1"/>
                <w:color w:val="auto"/>
              </w:rPr>
              <w:t>Independent Director, Lead Independent Director</w:t>
            </w:r>
          </w:p>
        </w:tc>
        <w:tc>
          <w:tcPr>
            <w:tcW w:w="1600" w:type="dxa"/>
            <w:vAlign w:val="bottom"/>
            <w:shd w:val="clear" w:color="auto" w:fill="E7E7E8"/>
          </w:tcPr>
          <w:p>
            <w:pPr>
              <w:spacing w:after="0"/>
              <w:rPr>
                <w:sz w:val="24"/>
                <w:szCs w:val="24"/>
                <w:color w:val="auto"/>
              </w:rPr>
            </w:pPr>
          </w:p>
        </w:tc>
        <w:tc>
          <w:tcPr>
            <w:tcW w:w="2640" w:type="dxa"/>
            <w:vAlign w:val="bottom"/>
            <w:shd w:val="clear" w:color="auto" w:fill="E7E7E8"/>
          </w:tcPr>
          <w:p>
            <w:pPr>
              <w:spacing w:after="0"/>
              <w:rPr>
                <w:sz w:val="24"/>
                <w:szCs w:val="24"/>
                <w:color w:val="auto"/>
              </w:rPr>
            </w:pPr>
          </w:p>
        </w:tc>
      </w:tr>
      <w:tr>
        <w:trPr>
          <w:trHeight w:val="459"/>
        </w:trPr>
        <w:tc>
          <w:tcPr>
            <w:tcW w:w="1620" w:type="dxa"/>
            <w:vAlign w:val="bottom"/>
            <w:shd w:val="clear" w:color="auto" w:fill="E7E7E8"/>
          </w:tcPr>
          <w:p>
            <w:pPr>
              <w:ind w:left="320"/>
              <w:spacing w:after="0"/>
              <w:rPr>
                <w:sz w:val="20"/>
                <w:szCs w:val="20"/>
                <w:color w:val="auto"/>
              </w:rPr>
            </w:pPr>
            <w:r>
              <w:rPr>
                <w:rFonts w:ascii="Arial" w:cs="Arial" w:eastAsia="Arial" w:hAnsi="Arial"/>
                <w:sz w:val="18"/>
                <w:szCs w:val="18"/>
                <w:b w:val="1"/>
                <w:bCs w:val="1"/>
                <w:color w:val="auto"/>
              </w:rPr>
              <w:t>Committees:</w:t>
            </w:r>
          </w:p>
        </w:tc>
        <w:tc>
          <w:tcPr>
            <w:tcW w:w="472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w w:val="98"/>
              </w:rPr>
              <w:t>Compensation and Governance (Chair; Presiding Director)</w:t>
            </w:r>
          </w:p>
        </w:tc>
        <w:tc>
          <w:tcPr>
            <w:tcW w:w="2640" w:type="dxa"/>
            <w:vAlign w:val="bottom"/>
            <w:shd w:val="clear" w:color="auto" w:fill="E7E7E8"/>
          </w:tcPr>
          <w:p>
            <w:pPr>
              <w:spacing w:after="0"/>
              <w:rPr>
                <w:sz w:val="24"/>
                <w:szCs w:val="24"/>
                <w:color w:val="auto"/>
              </w:rPr>
            </w:pPr>
          </w:p>
        </w:tc>
      </w:tr>
      <w:tr>
        <w:trPr>
          <w:trHeight w:val="245"/>
        </w:trPr>
        <w:tc>
          <w:tcPr>
            <w:tcW w:w="1620" w:type="dxa"/>
            <w:vAlign w:val="bottom"/>
            <w:shd w:val="clear" w:color="auto" w:fill="E7E7E8"/>
          </w:tcPr>
          <w:p>
            <w:pPr>
              <w:spacing w:after="0"/>
              <w:rPr>
                <w:sz w:val="21"/>
                <w:szCs w:val="21"/>
                <w:color w:val="auto"/>
              </w:rPr>
            </w:pPr>
          </w:p>
        </w:tc>
        <w:tc>
          <w:tcPr>
            <w:tcW w:w="3120" w:type="dxa"/>
            <w:vAlign w:val="bottom"/>
            <w:shd w:val="clear" w:color="auto" w:fill="E7E7E8"/>
          </w:tcPr>
          <w:p>
            <w:pPr>
              <w:spacing w:after="0"/>
              <w:rPr>
                <w:sz w:val="21"/>
                <w:szCs w:val="21"/>
                <w:color w:val="auto"/>
              </w:rPr>
            </w:pPr>
          </w:p>
        </w:tc>
        <w:tc>
          <w:tcPr>
            <w:tcW w:w="1600" w:type="dxa"/>
            <w:vAlign w:val="bottom"/>
            <w:shd w:val="clear" w:color="auto" w:fill="E7E7E8"/>
          </w:tcPr>
          <w:p>
            <w:pPr>
              <w:spacing w:after="0"/>
              <w:rPr>
                <w:sz w:val="21"/>
                <w:szCs w:val="21"/>
                <w:color w:val="auto"/>
              </w:rPr>
            </w:pPr>
          </w:p>
        </w:tc>
        <w:tc>
          <w:tcPr>
            <w:tcW w:w="2640" w:type="dxa"/>
            <w:vAlign w:val="bottom"/>
            <w:shd w:val="clear" w:color="auto" w:fill="E7E7E8"/>
          </w:tcPr>
          <w:p>
            <w:pPr>
              <w:spacing w:after="0"/>
              <w:rPr>
                <w:sz w:val="21"/>
                <w:szCs w:val="21"/>
                <w:color w:val="auto"/>
              </w:rPr>
            </w:pPr>
          </w:p>
        </w:tc>
      </w:tr>
    </w:tbl>
    <w:p>
      <w:pPr>
        <w:spacing w:after="0" w:line="235"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Background:</w:t>
      </w:r>
    </w:p>
    <w:p>
      <w:pPr>
        <w:spacing w:after="0" w:line="252" w:lineRule="exact"/>
        <w:rPr>
          <w:sz w:val="20"/>
          <w:szCs w:val="20"/>
          <w:color w:val="auto"/>
        </w:rPr>
      </w:pPr>
    </w:p>
    <w:p>
      <w:pPr>
        <w:ind w:left="1440" w:right="1140"/>
        <w:spacing w:after="0" w:line="335" w:lineRule="auto"/>
        <w:rPr>
          <w:sz w:val="20"/>
          <w:szCs w:val="20"/>
          <w:color w:val="auto"/>
        </w:rPr>
      </w:pPr>
      <w:r>
        <w:rPr>
          <w:rFonts w:ascii="Arial" w:cs="Arial" w:eastAsia="Arial" w:hAnsi="Arial"/>
          <w:sz w:val="15"/>
          <w:szCs w:val="15"/>
          <w:color w:val="auto"/>
        </w:rPr>
        <w:t>Mr. Roddenberry has served as our director since June 2006. Mr. Roddenberry is a partner in the law firm of Akerman LLP where he has been employed as an attorney since 1988. Mr. Roddenberry advises clients in corporate compliance and governance issues, public and private securities transactions, mergers and acquisitions, and private equity investments.</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Skills &amp; Qualifications:</w:t>
      </w:r>
    </w:p>
    <w:p>
      <w:pPr>
        <w:spacing w:after="0" w:line="252" w:lineRule="exact"/>
        <w:rPr>
          <w:sz w:val="20"/>
          <w:szCs w:val="20"/>
          <w:color w:val="auto"/>
        </w:rPr>
      </w:pPr>
    </w:p>
    <w:p>
      <w:pPr>
        <w:ind w:left="1440" w:right="1840"/>
        <w:spacing w:after="0" w:line="268" w:lineRule="auto"/>
        <w:rPr>
          <w:sz w:val="20"/>
          <w:szCs w:val="20"/>
          <w:color w:val="auto"/>
        </w:rPr>
      </w:pPr>
      <w:r>
        <w:rPr>
          <w:rFonts w:ascii="Arial" w:cs="Arial" w:eastAsia="Arial" w:hAnsi="Arial"/>
          <w:sz w:val="18"/>
          <w:szCs w:val="18"/>
          <w:color w:val="auto"/>
        </w:rPr>
        <w:t>Mr. Roddenberry brings to the Board extensive experience in private equity mergers and acquisitions, investment management, venture capital, public finance and securities.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430"/>
        </w:trPr>
        <w:tc>
          <w:tcPr>
            <w:tcW w:w="5100" w:type="dxa"/>
            <w:vAlign w:val="bottom"/>
            <w:gridSpan w:val="2"/>
            <w:shd w:val="clear" w:color="auto" w:fill="0048E0"/>
          </w:tcPr>
          <w:p>
            <w:pPr>
              <w:ind w:left="320"/>
              <w:spacing w:after="0"/>
              <w:rPr>
                <w:sz w:val="20"/>
                <w:szCs w:val="20"/>
                <w:color w:val="auto"/>
              </w:rPr>
            </w:pPr>
            <w:r>
              <w:rPr>
                <w:rFonts w:ascii="Arial" w:cs="Arial" w:eastAsia="Arial" w:hAnsi="Arial"/>
                <w:sz w:val="18"/>
                <w:szCs w:val="18"/>
                <w:b w:val="1"/>
                <w:bCs w:val="1"/>
                <w:color w:val="FFFFFE"/>
              </w:rPr>
              <w:t>PAUL H. STEBBINS</w:t>
            </w:r>
          </w:p>
        </w:tc>
        <w:tc>
          <w:tcPr>
            <w:tcW w:w="1240" w:type="dxa"/>
            <w:vAlign w:val="bottom"/>
            <w:shd w:val="clear" w:color="auto" w:fill="0048E0"/>
          </w:tcPr>
          <w:p>
            <w:pPr>
              <w:ind w:left="460"/>
              <w:spacing w:after="0"/>
              <w:rPr>
                <w:sz w:val="20"/>
                <w:szCs w:val="20"/>
                <w:color w:val="auto"/>
              </w:rPr>
            </w:pPr>
            <w:r>
              <w:rPr>
                <w:rFonts w:ascii="Arial" w:cs="Arial" w:eastAsia="Arial" w:hAnsi="Arial"/>
                <w:sz w:val="18"/>
                <w:szCs w:val="18"/>
                <w:b w:val="1"/>
                <w:bCs w:val="1"/>
                <w:color w:val="FFFFFE"/>
              </w:rPr>
              <w:t xml:space="preserve">Age: </w:t>
            </w:r>
            <w:r>
              <w:rPr>
                <w:rFonts w:ascii="Arial" w:cs="Arial" w:eastAsia="Arial" w:hAnsi="Arial"/>
                <w:sz w:val="18"/>
                <w:szCs w:val="18"/>
                <w:color w:val="FFFFFE"/>
              </w:rPr>
              <w:t>63</w:t>
            </w:r>
          </w:p>
        </w:tc>
        <w:tc>
          <w:tcPr>
            <w:tcW w:w="2640" w:type="dxa"/>
            <w:vAlign w:val="bottom"/>
            <w:shd w:val="clear" w:color="auto" w:fill="0048E0"/>
          </w:tcPr>
          <w:p>
            <w:pPr>
              <w:ind w:left="240"/>
              <w:spacing w:after="0"/>
              <w:rPr>
                <w:sz w:val="20"/>
                <w:szCs w:val="20"/>
                <w:color w:val="auto"/>
              </w:rPr>
            </w:pPr>
            <w:r>
              <w:rPr>
                <w:rFonts w:ascii="Arial" w:cs="Arial" w:eastAsia="Arial" w:hAnsi="Arial"/>
                <w:sz w:val="18"/>
                <w:szCs w:val="18"/>
                <w:b w:val="1"/>
                <w:bCs w:val="1"/>
                <w:color w:val="FFFFFE"/>
              </w:rPr>
              <w:t xml:space="preserve">Director Since: </w:t>
            </w:r>
            <w:r>
              <w:rPr>
                <w:rFonts w:ascii="Arial" w:cs="Arial" w:eastAsia="Arial" w:hAnsi="Arial"/>
                <w:sz w:val="18"/>
                <w:szCs w:val="18"/>
                <w:color w:val="FFFFFE"/>
              </w:rPr>
              <w:t>1995</w:t>
            </w:r>
          </w:p>
        </w:tc>
      </w:tr>
      <w:tr>
        <w:trPr>
          <w:trHeight w:val="245"/>
        </w:trPr>
        <w:tc>
          <w:tcPr>
            <w:tcW w:w="1610" w:type="dxa"/>
            <w:vAlign w:val="bottom"/>
            <w:shd w:val="clear" w:color="auto" w:fill="0048E0"/>
          </w:tcPr>
          <w:p>
            <w:pPr>
              <w:spacing w:after="0"/>
              <w:rPr>
                <w:sz w:val="21"/>
                <w:szCs w:val="21"/>
                <w:color w:val="auto"/>
              </w:rPr>
            </w:pPr>
          </w:p>
        </w:tc>
        <w:tc>
          <w:tcPr>
            <w:tcW w:w="3490" w:type="dxa"/>
            <w:vAlign w:val="bottom"/>
            <w:shd w:val="clear" w:color="auto" w:fill="0048E0"/>
          </w:tcPr>
          <w:p>
            <w:pPr>
              <w:spacing w:after="0"/>
              <w:rPr>
                <w:sz w:val="21"/>
                <w:szCs w:val="21"/>
                <w:color w:val="auto"/>
              </w:rPr>
            </w:pPr>
          </w:p>
        </w:tc>
        <w:tc>
          <w:tcPr>
            <w:tcW w:w="1240" w:type="dxa"/>
            <w:vAlign w:val="bottom"/>
            <w:shd w:val="clear" w:color="auto" w:fill="0048E0"/>
          </w:tcPr>
          <w:p>
            <w:pPr>
              <w:spacing w:after="0"/>
              <w:rPr>
                <w:sz w:val="21"/>
                <w:szCs w:val="21"/>
                <w:color w:val="auto"/>
              </w:rPr>
            </w:pPr>
          </w:p>
        </w:tc>
        <w:tc>
          <w:tcPr>
            <w:tcW w:w="2640" w:type="dxa"/>
            <w:vAlign w:val="bottom"/>
            <w:shd w:val="clear" w:color="auto" w:fill="0048E0"/>
          </w:tcPr>
          <w:p>
            <w:pPr>
              <w:spacing w:after="0"/>
              <w:rPr>
                <w:sz w:val="21"/>
                <w:szCs w:val="21"/>
                <w:color w:val="auto"/>
              </w:rPr>
            </w:pPr>
          </w:p>
        </w:tc>
      </w:tr>
      <w:tr>
        <w:trPr>
          <w:trHeight w:val="430"/>
        </w:trPr>
        <w:tc>
          <w:tcPr>
            <w:tcW w:w="5100" w:type="dxa"/>
            <w:vAlign w:val="bottom"/>
            <w:gridSpan w:val="2"/>
            <w:shd w:val="clear" w:color="auto" w:fill="E7E7E8"/>
          </w:tcPr>
          <w:p>
            <w:pPr>
              <w:ind w:left="320"/>
              <w:spacing w:after="0"/>
              <w:rPr>
                <w:sz w:val="20"/>
                <w:szCs w:val="20"/>
                <w:color w:val="auto"/>
              </w:rPr>
            </w:pPr>
            <w:r>
              <w:rPr>
                <w:rFonts w:ascii="Arial" w:cs="Arial" w:eastAsia="Arial" w:hAnsi="Arial"/>
                <w:sz w:val="18"/>
                <w:szCs w:val="18"/>
                <w:b w:val="1"/>
                <w:bCs w:val="1"/>
                <w:i w:val="1"/>
                <w:iCs w:val="1"/>
                <w:color w:val="auto"/>
              </w:rPr>
              <w:t>Independent Director, Chairman Emeritus</w:t>
            </w:r>
          </w:p>
        </w:tc>
        <w:tc>
          <w:tcPr>
            <w:tcW w:w="1240" w:type="dxa"/>
            <w:vAlign w:val="bottom"/>
            <w:shd w:val="clear" w:color="auto" w:fill="E7E7E8"/>
          </w:tcPr>
          <w:p>
            <w:pPr>
              <w:spacing w:after="0"/>
              <w:rPr>
                <w:sz w:val="24"/>
                <w:szCs w:val="24"/>
                <w:color w:val="auto"/>
              </w:rPr>
            </w:pPr>
          </w:p>
        </w:tc>
        <w:tc>
          <w:tcPr>
            <w:tcW w:w="2640" w:type="dxa"/>
            <w:vAlign w:val="bottom"/>
            <w:shd w:val="clear" w:color="auto" w:fill="E7E7E8"/>
          </w:tcPr>
          <w:p>
            <w:pPr>
              <w:spacing w:after="0"/>
              <w:rPr>
                <w:sz w:val="24"/>
                <w:szCs w:val="24"/>
                <w:color w:val="auto"/>
              </w:rPr>
            </w:pPr>
          </w:p>
        </w:tc>
      </w:tr>
      <w:tr>
        <w:trPr>
          <w:trHeight w:val="432"/>
        </w:trPr>
        <w:tc>
          <w:tcPr>
            <w:tcW w:w="1610" w:type="dxa"/>
            <w:vAlign w:val="bottom"/>
            <w:shd w:val="clear" w:color="auto" w:fill="E7E7E8"/>
          </w:tcPr>
          <w:p>
            <w:pPr>
              <w:ind w:left="320"/>
              <w:spacing w:after="0"/>
              <w:rPr>
                <w:sz w:val="20"/>
                <w:szCs w:val="20"/>
                <w:color w:val="auto"/>
              </w:rPr>
            </w:pPr>
            <w:r>
              <w:rPr>
                <w:rFonts w:ascii="Arial" w:cs="Arial" w:eastAsia="Arial" w:hAnsi="Arial"/>
                <w:sz w:val="18"/>
                <w:szCs w:val="18"/>
                <w:b w:val="1"/>
                <w:bCs w:val="1"/>
                <w:color w:val="auto"/>
              </w:rPr>
              <w:t>Committees:</w:t>
            </w:r>
          </w:p>
        </w:tc>
        <w:tc>
          <w:tcPr>
            <w:tcW w:w="3490" w:type="dxa"/>
            <w:vAlign w:val="bottom"/>
            <w:shd w:val="clear" w:color="auto" w:fill="E7E7E8"/>
          </w:tcPr>
          <w:p>
            <w:pPr>
              <w:ind w:left="90"/>
              <w:spacing w:after="0"/>
              <w:rPr>
                <w:sz w:val="20"/>
                <w:szCs w:val="20"/>
                <w:color w:val="auto"/>
              </w:rPr>
            </w:pPr>
            <w:r>
              <w:rPr>
                <w:rFonts w:ascii="Arial" w:cs="Arial" w:eastAsia="Arial" w:hAnsi="Arial"/>
                <w:sz w:val="18"/>
                <w:szCs w:val="18"/>
                <w:color w:val="auto"/>
              </w:rPr>
              <w:t>Sustainability &amp; Corporate Responsibility</w:t>
            </w:r>
          </w:p>
        </w:tc>
        <w:tc>
          <w:tcPr>
            <w:tcW w:w="1240" w:type="dxa"/>
            <w:vAlign w:val="bottom"/>
            <w:shd w:val="clear" w:color="auto" w:fill="E7E7E8"/>
          </w:tcPr>
          <w:p>
            <w:pPr>
              <w:spacing w:after="0"/>
              <w:rPr>
                <w:sz w:val="24"/>
                <w:szCs w:val="24"/>
                <w:color w:val="auto"/>
              </w:rPr>
            </w:pPr>
          </w:p>
        </w:tc>
        <w:tc>
          <w:tcPr>
            <w:tcW w:w="2640" w:type="dxa"/>
            <w:vAlign w:val="bottom"/>
            <w:shd w:val="clear" w:color="auto" w:fill="E7E7E8"/>
          </w:tcPr>
          <w:p>
            <w:pPr>
              <w:spacing w:after="0"/>
              <w:rPr>
                <w:sz w:val="24"/>
                <w:szCs w:val="24"/>
                <w:color w:val="auto"/>
              </w:rPr>
            </w:pPr>
          </w:p>
        </w:tc>
      </w:tr>
      <w:tr>
        <w:trPr>
          <w:trHeight w:val="218"/>
        </w:trPr>
        <w:tc>
          <w:tcPr>
            <w:tcW w:w="1610" w:type="dxa"/>
            <w:vAlign w:val="bottom"/>
            <w:shd w:val="clear" w:color="auto" w:fill="E7E7E8"/>
          </w:tcPr>
          <w:p>
            <w:pPr>
              <w:spacing w:after="0"/>
              <w:rPr>
                <w:sz w:val="18"/>
                <w:szCs w:val="18"/>
                <w:color w:val="auto"/>
              </w:rPr>
            </w:pPr>
          </w:p>
        </w:tc>
        <w:tc>
          <w:tcPr>
            <w:tcW w:w="349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2640" w:type="dxa"/>
            <w:vAlign w:val="bottom"/>
            <w:shd w:val="clear" w:color="auto" w:fill="E7E7E8"/>
          </w:tcPr>
          <w:p>
            <w:pPr>
              <w:spacing w:after="0"/>
              <w:rPr>
                <w:sz w:val="18"/>
                <w:szCs w:val="18"/>
                <w:color w:val="auto"/>
              </w:rPr>
            </w:pPr>
          </w:p>
        </w:tc>
      </w:tr>
    </w:tbl>
    <w:p>
      <w:pPr>
        <w:spacing w:after="0" w:line="235"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Background:</w:t>
      </w:r>
    </w:p>
    <w:p>
      <w:pPr>
        <w:spacing w:after="0" w:line="252" w:lineRule="exact"/>
        <w:rPr>
          <w:sz w:val="20"/>
          <w:szCs w:val="20"/>
          <w:color w:val="auto"/>
        </w:rPr>
      </w:pPr>
    </w:p>
    <w:p>
      <w:pPr>
        <w:ind w:left="1440" w:right="1140"/>
        <w:spacing w:after="0" w:line="285" w:lineRule="auto"/>
        <w:rPr>
          <w:sz w:val="20"/>
          <w:szCs w:val="20"/>
          <w:color w:val="auto"/>
        </w:rPr>
      </w:pPr>
      <w:r>
        <w:rPr>
          <w:rFonts w:ascii="Arial" w:cs="Arial" w:eastAsia="Arial" w:hAnsi="Arial"/>
          <w:sz w:val="16"/>
          <w:szCs w:val="16"/>
          <w:color w:val="auto"/>
        </w:rPr>
        <w:t>Prior to his appointment as Chairman Emeritus, from January 2012 to May 2014, Mr. Stebbins served as Executive Chairman of the Board. From July 2002 to December 2011, he served as our Chairman of the Board and Chief Executive Officer and, from August 2000 to July 2002, he served as our President and Chief Operating Officer. From January 1995 to August 2000, Mr. Stebbins served as President and Chief Operating Officer of World Fuel Services Americas, Inc. (formerly Trans-Tec Services, Inc.), at the time our principal subsidiary engaged in the marine fuel services business. From September 1985 to December 1994, Mr. Stebbins was an officer, shareholder and director of Trans-Tec Services, Inc., a global marine fuel services company, which Mr. Stebbins co-founded in 1985. In December 2006, Mr. Stebbins joined the board of directors of First Solar, Inc., a Nasdaq company, and currently serves as the chairman of the nominating and governance committee and a member of the audit and compensation committees. Mr. Stebbins is a member of the Board of Advisors of the Amigos de las Americas Foundation of Houston, Texas (amigosinternational.org) and Board of Directors of The Silk Road Project founded by Yo-Yo Ma (silkroadproject.org). Mr. Stebbins is a founding member of FixUS (FixUSNow.org) and also a member of the leadership council of Fix The Debt Campaign (fixthedebt.org) and the Council on Foreign Relations.</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0048E0"/>
        </w:rPr>
        <w:t>Skills &amp; Qualifications:</w:t>
      </w:r>
    </w:p>
    <w:p>
      <w:pPr>
        <w:spacing w:after="0" w:line="252" w:lineRule="exact"/>
        <w:rPr>
          <w:sz w:val="20"/>
          <w:szCs w:val="20"/>
          <w:color w:val="auto"/>
        </w:rPr>
      </w:pPr>
    </w:p>
    <w:p>
      <w:pPr>
        <w:ind w:left="1440" w:right="1260"/>
        <w:spacing w:after="0" w:line="268" w:lineRule="auto"/>
        <w:rPr>
          <w:sz w:val="20"/>
          <w:szCs w:val="20"/>
          <w:color w:val="auto"/>
        </w:rPr>
      </w:pPr>
      <w:r>
        <w:rPr>
          <w:rFonts w:ascii="Arial" w:cs="Arial" w:eastAsia="Arial" w:hAnsi="Arial"/>
          <w:sz w:val="18"/>
          <w:szCs w:val="18"/>
          <w:color w:val="auto"/>
        </w:rPr>
        <w:t>Mr. Stebbins brings to the Board a unique understanding of our strategies and operations through over 20 years of service to our Company and more than 30 years of experience in the fuel services business.</w:t>
      </w:r>
    </w:p>
    <w:p>
      <w:pPr>
        <w:spacing w:after="0" w:line="180"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THE BOARD OF DIRECTORS UNANIMOUSLY RECOMMENDS A VOTE "FOR" THE ELECTION OF EACH OF THE ABOVE DIRECTOR NOMINEES.</w:t>
      </w:r>
    </w:p>
    <w:p>
      <w:pPr>
        <w:spacing w:after="0" w:line="1" w:lineRule="exact"/>
        <w:rPr>
          <w:sz w:val="20"/>
          <w:szCs w:val="20"/>
          <w:color w:val="auto"/>
        </w:rPr>
      </w:pPr>
    </w:p>
    <w:p>
      <w:pPr>
        <w:jc w:val="right"/>
        <w:spacing w:after="0"/>
        <w:tabs>
          <w:tab w:leader="none" w:pos="2140" w:val="left"/>
          <w:tab w:leader="none" w:pos="188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200" w:firstLine="8"/>
        <w:spacing w:after="0" w:line="585" w:lineRule="auto"/>
        <w:tabs>
          <w:tab w:leader="none" w:pos="619" w:val="left"/>
        </w:tabs>
        <w:numPr>
          <w:ilvl w:val="0"/>
          <w:numId w:val="8"/>
        </w:numPr>
        <w:rPr>
          <w:rFonts w:ascii="Arial" w:cs="Arial" w:eastAsia="Arial" w:hAnsi="Arial"/>
          <w:sz w:val="16"/>
          <w:szCs w:val="16"/>
          <w:b w:val="1"/>
          <w:bCs w:val="1"/>
          <w:color w:val="0048E0"/>
        </w:rPr>
      </w:pPr>
      <w:r>
        <w:rPr>
          <w:rFonts w:ascii="Arial" w:cs="Arial" w:eastAsia="Arial" w:hAnsi="Arial"/>
          <w:sz w:val="16"/>
          <w:szCs w:val="16"/>
          <w:b w:val="1"/>
          <w:bCs w:val="1"/>
          <w:color w:val="0048E0"/>
        </w:rPr>
        <w:t>CORPORATE GOVERNANCE Board and Committee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0048E0"/>
        </w:rPr>
        <w:t>Board Leadership Structure</w:t>
      </w:r>
    </w:p>
    <w:p>
      <w:pPr>
        <w:spacing w:after="0" w:line="225"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The Board regularly considers the appropriate leadership structure for us and does not have a formal policy with respect to the separation of the positions of Chief Executive Officer and Chairman of the Board. Rather, the Board believes that different Board leadership structures may be appropriate for us at different times, and that it should have the flexibility to make this decision based on its evaluation of current circumstances. When making this decision, the Board considers factors such as:</w:t>
      </w:r>
    </w:p>
    <w:p>
      <w:pPr>
        <w:spacing w:after="0" w:line="21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person filling each role;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presence of a lead independent director and the person in that role;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composition, independence, and effectiveness of the entire Board;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corporate governance structures in place.</w:t>
      </w:r>
    </w:p>
    <w:p>
      <w:pPr>
        <w:spacing w:after="0" w:line="225" w:lineRule="exact"/>
        <w:rPr>
          <w:sz w:val="20"/>
          <w:szCs w:val="20"/>
          <w:color w:val="auto"/>
        </w:rPr>
      </w:pPr>
    </w:p>
    <w:p>
      <w:pPr>
        <w:ind w:right="60" w:firstLine="614"/>
        <w:spacing w:after="0" w:line="294" w:lineRule="auto"/>
        <w:rPr>
          <w:sz w:val="20"/>
          <w:szCs w:val="20"/>
          <w:color w:val="auto"/>
        </w:rPr>
      </w:pPr>
      <w:r>
        <w:rPr>
          <w:rFonts w:ascii="Arial" w:cs="Arial" w:eastAsia="Arial" w:hAnsi="Arial"/>
          <w:sz w:val="16"/>
          <w:szCs w:val="16"/>
          <w:color w:val="auto"/>
        </w:rPr>
        <w:t>Mr. Kasbar currently serves as Chairman of the Board in addition to his role as President and Chief Executive Officer. Our Board believes that our Chief Executive Officer is in the best position to most effectively serve as the Chairman of the Board given that he has the primary responsibility for managing our day-to-day operations and therefore has a detailed and in-depth knowledge of the issues, opportunities and challenges facing us and our businesses. The Board also believes that the Chief Executive Officer serving as Chairman of the Board further promotes information flow between management and the Board and enhances the quality of the Board's overall decision-making process.</w:t>
      </w:r>
    </w:p>
    <w:p>
      <w:pPr>
        <w:spacing w:after="0" w:line="169" w:lineRule="exact"/>
        <w:rPr>
          <w:sz w:val="20"/>
          <w:szCs w:val="20"/>
          <w:color w:val="auto"/>
        </w:rPr>
      </w:pPr>
    </w:p>
    <w:p>
      <w:pPr>
        <w:ind w:right="20" w:firstLine="614"/>
        <w:spacing w:after="0" w:line="259" w:lineRule="auto"/>
        <w:rPr>
          <w:sz w:val="20"/>
          <w:szCs w:val="20"/>
          <w:color w:val="auto"/>
        </w:rPr>
      </w:pPr>
      <w:r>
        <w:rPr>
          <w:rFonts w:ascii="Arial" w:cs="Arial" w:eastAsia="Arial" w:hAnsi="Arial"/>
          <w:sz w:val="18"/>
          <w:szCs w:val="18"/>
          <w:color w:val="auto"/>
        </w:rPr>
        <w:t>In making its decision to combine the roles of Chief Executive Officer and Chairman of the Board, the Board considered that its leadership structure was appropriate given the following strong governance structures and processes in place to ensure the independence of the Board, eliminate conflicts of interest and prevent the dominance of the Board by senior management:</w:t>
      </w:r>
    </w:p>
    <w:p>
      <w:pPr>
        <w:spacing w:after="0" w:line="221"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presence of, and the responsibilities and authority of, the Board's strong lead independent director;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composition of the Board, which includes a super-majority of independent non-management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composition of the Board's standing committees, which are comprised of, and chaired solely by, independent non-management directors;</w:t>
      </w:r>
    </w:p>
    <w:p>
      <w:pPr>
        <w:spacing w:after="0" w:line="275" w:lineRule="exact"/>
        <w:rPr>
          <w:rFonts w:ascii="Arial" w:cs="Arial" w:eastAsia="Arial" w:hAnsi="Arial"/>
          <w:sz w:val="16"/>
          <w:szCs w:val="16"/>
          <w:color w:val="auto"/>
        </w:rPr>
      </w:pPr>
    </w:p>
    <w:p>
      <w:pPr>
        <w:ind w:left="1080" w:right="740" w:hanging="532"/>
        <w:spacing w:after="0" w:line="33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fact that the independent non-management directors meet in regular executive sessions without management present to discuss the effectiveness of our management, the quality of the Board meetings and any other issues and concerns; and</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fact that all Board members have unrestricted access to management and outside advisors.</w:t>
      </w:r>
    </w:p>
    <w:p>
      <w:pPr>
        <w:spacing w:after="0" w:line="15"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Lead Independent Director</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independent directors annually elect our lead independent director. Consistent with best practices, our lead independent director:</w:t>
      </w:r>
    </w:p>
    <w:p>
      <w:pPr>
        <w:spacing w:after="0" w:line="239" w:lineRule="exact"/>
        <w:rPr>
          <w:sz w:val="20"/>
          <w:szCs w:val="20"/>
          <w:color w:val="auto"/>
        </w:rPr>
      </w:pPr>
    </w:p>
    <w:p>
      <w:pPr>
        <w:ind w:left="1080" w:right="6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presides at all meetings of the Board at which the Chairman of the Board is not present, including executive sessions of the independent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serves as a liaison between the Chairman of the Board and the independent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Board meeting agendas and schedules to assure that there is sufficient time for discussion of all agenda items;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has the authority to call meetings of the independent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requested by major shareholders, ensures that he is available for consultations and direct communication;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has the authority to retain outside advisors and consultants who report directly to the Board;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consults with and assists the Chief Executive Officer in accomplishing his objectives as the Chief Executive Officer deems appropriate.</w:t>
      </w:r>
    </w:p>
    <w:p>
      <w:pPr>
        <w:spacing w:after="0" w:line="248" w:lineRule="exact"/>
        <w:rPr>
          <w:sz w:val="20"/>
          <w:szCs w:val="20"/>
          <w:color w:val="auto"/>
        </w:rPr>
      </w:pPr>
    </w:p>
    <w:p>
      <w:pPr>
        <w:ind w:right="280" w:firstLine="614"/>
        <w:spacing w:after="0" w:line="268" w:lineRule="auto"/>
        <w:rPr>
          <w:sz w:val="20"/>
          <w:szCs w:val="20"/>
          <w:color w:val="auto"/>
        </w:rPr>
      </w:pPr>
      <w:r>
        <w:rPr>
          <w:rFonts w:ascii="Arial" w:cs="Arial" w:eastAsia="Arial" w:hAnsi="Arial"/>
          <w:sz w:val="18"/>
          <w:szCs w:val="18"/>
          <w:color w:val="auto"/>
        </w:rPr>
        <w:t>Currently, Mr. Roddenberry serves as our lead independent director. The Board believes that having a lead independent director benefits us and our shareholders by providing leadership and an organizational structure for the independent directors.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Shareholder Engagement</w:t>
      </w:r>
    </w:p>
    <w:p>
      <w:pPr>
        <w:spacing w:after="0" w:line="225" w:lineRule="exact"/>
        <w:rPr>
          <w:sz w:val="20"/>
          <w:szCs w:val="20"/>
          <w:color w:val="auto"/>
        </w:rPr>
      </w:pPr>
    </w:p>
    <w:p>
      <w:pPr>
        <w:ind w:right="20" w:firstLine="611"/>
        <w:spacing w:after="0" w:line="290" w:lineRule="auto"/>
        <w:rPr>
          <w:sz w:val="20"/>
          <w:szCs w:val="20"/>
          <w:color w:val="auto"/>
        </w:rPr>
      </w:pPr>
      <w:r>
        <w:rPr>
          <w:rFonts w:ascii="Arial" w:cs="Arial" w:eastAsia="Arial" w:hAnsi="Arial"/>
          <w:sz w:val="16"/>
          <w:szCs w:val="16"/>
          <w:color w:val="auto"/>
        </w:rPr>
        <w:t>We regularly engage with our shareholders to better understand their perspectives on our Company, including our business strategies, financial performance, and matters of corporate governance and executive compensation. This dialogue has helped inform the Board's decision-making and ensure our interests remain well-aligned with those of our shareholders. In recent years, these engagements have covered governance issues, such as majority voting, board leadership and director nomination processes, and compensation and capital allocation policies. During 2019, we interacted with the 18 largest holders of our common stock, representing approximately 50% percent of our outstanding shares. We believe that these engagements provide valuable feedback and this feedback is shared regularly with the Board and its relevant committees. As a result of the feedback we received from our shareholders in the past few years, we have, among other things:</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adopted a director resignation policy for all directors in uncontested elections;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enhanced our disclosure regarding our director nomination process and the combined skills of our Board;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amended our Governance Committee charter and Corporate Governance Principles to better reflect the Board's perspective and existing practice regarding the inclusion of diverse candidates in the director nomination process;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modified our long-term incentive compensation programs to enhance predictability and shareholder alignment.</w:t>
      </w:r>
    </w:p>
    <w:p>
      <w:pPr>
        <w:spacing w:after="0" w:line="219"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Meetings</w:t>
      </w:r>
    </w:p>
    <w:p>
      <w:pPr>
        <w:spacing w:after="0" w:line="225" w:lineRule="exact"/>
        <w:rPr>
          <w:sz w:val="20"/>
          <w:szCs w:val="20"/>
          <w:color w:val="auto"/>
        </w:rPr>
      </w:pPr>
    </w:p>
    <w:p>
      <w:pPr>
        <w:ind w:right="60" w:firstLine="614"/>
        <w:spacing w:after="0" w:line="256" w:lineRule="auto"/>
        <w:rPr>
          <w:sz w:val="20"/>
          <w:szCs w:val="20"/>
          <w:color w:val="auto"/>
        </w:rPr>
      </w:pPr>
      <w:r>
        <w:rPr>
          <w:rFonts w:ascii="Arial" w:cs="Arial" w:eastAsia="Arial" w:hAnsi="Arial"/>
          <w:sz w:val="18"/>
          <w:szCs w:val="18"/>
          <w:color w:val="auto"/>
        </w:rPr>
        <w:t>During 2019, the Board met four times. Each director attended at least 75% of the aggregate of the total number of meetings of the Board and the total number of meetings held by each of the Board committees on which he or she served. In addition, it is our policy that each director should attend all meetings of shareholders, absent extenuating circumstances. All of our directors that were standing for election at the 2019 annual meeting of shareholders attended the meeting.</w:t>
      </w:r>
    </w:p>
    <w:p>
      <w:pPr>
        <w:spacing w:after="0" w:line="197" w:lineRule="exact"/>
        <w:rPr>
          <w:sz w:val="20"/>
          <w:szCs w:val="20"/>
          <w:color w:val="auto"/>
        </w:rPr>
      </w:pPr>
    </w:p>
    <w:p>
      <w:pPr>
        <w:ind w:right="180" w:firstLine="605"/>
        <w:spacing w:after="0" w:line="331" w:lineRule="auto"/>
        <w:rPr>
          <w:sz w:val="20"/>
          <w:szCs w:val="20"/>
          <w:color w:val="auto"/>
        </w:rPr>
      </w:pPr>
      <w:r>
        <w:rPr>
          <w:rFonts w:ascii="Arial" w:cs="Arial" w:eastAsia="Arial" w:hAnsi="Arial"/>
          <w:sz w:val="16"/>
          <w:szCs w:val="16"/>
          <w:color w:val="auto"/>
        </w:rPr>
        <w:t>All of our independent directors meet in executive session (without management present) during each scheduled Board meeting and at other times as they may deem necessary. Mr. Roddenberry currently serves as the Presiding Director over all executive sessions of the independent directors.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Director Independence</w:t>
      </w:r>
    </w:p>
    <w:p>
      <w:pPr>
        <w:spacing w:after="0" w:line="225" w:lineRule="exact"/>
        <w:rPr>
          <w:sz w:val="20"/>
          <w:szCs w:val="20"/>
          <w:color w:val="auto"/>
        </w:rPr>
      </w:pPr>
    </w:p>
    <w:p>
      <w:pPr>
        <w:ind w:right="60" w:firstLine="614"/>
        <w:spacing w:after="0" w:line="291" w:lineRule="auto"/>
        <w:rPr>
          <w:sz w:val="20"/>
          <w:szCs w:val="20"/>
          <w:color w:val="auto"/>
        </w:rPr>
      </w:pPr>
      <w:r>
        <w:rPr>
          <w:rFonts w:ascii="Arial" w:cs="Arial" w:eastAsia="Arial" w:hAnsi="Arial"/>
          <w:sz w:val="16"/>
          <w:szCs w:val="16"/>
          <w:color w:val="auto"/>
        </w:rPr>
        <w:t>Our Corporate Governance Principles require that a majority of our directors meet the standards for independence required by the listing standards of the NYSE. In addition, members of our Audit Committee must meet the independence standards for audit committee members adopted by the SEC. Members of the Audit Committee must also have no relationship with us that interferes with their exercise of independent judgment. Members of our Compensation Committee must meet the definition of "non-employee director" contained in Rule 16b-3 of the Securities Exchange Act of 1934, as amended (the "Exchange Act") and meet the independence requirements under the NYSE listing standards. The Board may also consider other factors in making its determination that a director has no material relationship with us that could compromise that director's independence.</w:t>
      </w:r>
    </w:p>
    <w:p>
      <w:pPr>
        <w:spacing w:after="0" w:line="174" w:lineRule="exact"/>
        <w:rPr>
          <w:sz w:val="20"/>
          <w:szCs w:val="20"/>
          <w:color w:val="auto"/>
        </w:rPr>
      </w:pPr>
    </w:p>
    <w:p>
      <w:pPr>
        <w:ind w:right="120" w:firstLine="614"/>
        <w:spacing w:after="0" w:line="290" w:lineRule="auto"/>
        <w:rPr>
          <w:sz w:val="20"/>
          <w:szCs w:val="20"/>
          <w:color w:val="auto"/>
        </w:rPr>
      </w:pPr>
      <w:r>
        <w:rPr>
          <w:rFonts w:ascii="Arial" w:cs="Arial" w:eastAsia="Arial" w:hAnsi="Arial"/>
          <w:sz w:val="16"/>
          <w:szCs w:val="16"/>
          <w:color w:val="auto"/>
        </w:rPr>
        <w:t>Our Corporate Governance Principles provide that no more than two members of management shall serve on the Board. Mr. Kasbar is the only member of management currently serving on our Board. All of our other directors, Messrs. Bakshi, Benitez, Gold, Kassar, Manley, Presby, Roddenberry, Stebbins and Ms. Cherwoo, are independent of us and our management under NYSE listing standards, and our Audit Committee members and Compensation Committee members are independent under the standards applicable to membership in such committees. In making this determination, our Board considered that Mr. Kassar is the first cousin of Mr. Kasbar, and the Board determined that the familial relationship between Messrs. Kasbar and Kassar was not material because it would not adversely affect Mr. Kassar's ability to exercise his independent judgment as our director. Mr. Kasbar is not deemed to be an independent director because of his employment relationship with us and therefore he is precluded from sitting on any of our committees.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Annual Board and Committee Self-Evaluations</w:t>
      </w:r>
    </w:p>
    <w:p>
      <w:pPr>
        <w:spacing w:after="0" w:line="225" w:lineRule="exact"/>
        <w:rPr>
          <w:sz w:val="20"/>
          <w:szCs w:val="20"/>
          <w:color w:val="auto"/>
        </w:rPr>
      </w:pPr>
    </w:p>
    <w:p>
      <w:pPr>
        <w:ind w:right="60" w:firstLine="614"/>
        <w:spacing w:after="0" w:line="301" w:lineRule="auto"/>
        <w:rPr>
          <w:sz w:val="20"/>
          <w:szCs w:val="20"/>
          <w:color w:val="auto"/>
        </w:rPr>
      </w:pPr>
      <w:r>
        <w:rPr>
          <w:rFonts w:ascii="Arial" w:cs="Arial" w:eastAsia="Arial" w:hAnsi="Arial"/>
          <w:sz w:val="15"/>
          <w:szCs w:val="15"/>
          <w:color w:val="auto"/>
        </w:rPr>
        <w:t>Each year, our Board and its committees conduct self-evaluations to ensure they are performing effectively and to identify opportunities to improve Board and committee performance. The Governance Committee annually reviews the format and scope of our Board's evaluation process in light of general corporate governance developments and best practices and recommends changes it believes are appropriate. Each chair of our Board's committees also reviews and updates, as appropriate, a separate self-evaluation of committee performance, which is provided to the members of each committee for comment and feedback. Once the format and content of the evaluation is approved, a Board self-assessment is conducted under the oversight of the Governance Committee and for each committee, led by the committee chair. As part of the assessment, a written questionnaire is circulated which is designed to solicit feedback on a range of issues, including Board and committee structure, process and dynamics, the flow of information from management, and agenda topics. The feedback received from the evaluations is discussed during a review session led by the Governance Committee and the individual committees, as appropriate.</w:t>
      </w:r>
    </w:p>
    <w:p>
      <w:pPr>
        <w:spacing w:after="0" w:line="4"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00" w:firstLine="614"/>
        <w:spacing w:after="0" w:line="259" w:lineRule="auto"/>
        <w:rPr>
          <w:sz w:val="20"/>
          <w:szCs w:val="20"/>
          <w:color w:val="auto"/>
        </w:rPr>
      </w:pPr>
      <w:r>
        <w:rPr>
          <w:rFonts w:ascii="Arial" w:cs="Arial" w:eastAsia="Arial" w:hAnsi="Arial"/>
          <w:sz w:val="18"/>
          <w:szCs w:val="18"/>
          <w:color w:val="auto"/>
        </w:rPr>
        <w:t>In addition to these annual self-assessments, the Board evaluates and modifies its oversight of our business operations on an ongoing basis. During their executive sessions, the independent directors consider agenda topics that they believe deserve additional focus and raise new topics to be addressed in future meetings.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Corporate Governance Principles</w:t>
      </w:r>
    </w:p>
    <w:p>
      <w:pPr>
        <w:spacing w:after="0" w:line="225" w:lineRule="exact"/>
        <w:rPr>
          <w:sz w:val="20"/>
          <w:szCs w:val="20"/>
          <w:color w:val="auto"/>
        </w:rPr>
      </w:pPr>
    </w:p>
    <w:p>
      <w:pPr>
        <w:ind w:right="140" w:firstLine="611"/>
        <w:spacing w:after="0" w:line="259" w:lineRule="auto"/>
        <w:rPr>
          <w:sz w:val="20"/>
          <w:szCs w:val="20"/>
          <w:color w:val="auto"/>
        </w:rPr>
      </w:pPr>
      <w:r>
        <w:rPr>
          <w:rFonts w:ascii="Arial" w:cs="Arial" w:eastAsia="Arial" w:hAnsi="Arial"/>
          <w:sz w:val="18"/>
          <w:szCs w:val="18"/>
          <w:color w:val="auto"/>
        </w:rPr>
        <w:t>The Board has adopted Corporate Governance Principles, which are amended from time to time to incorporate certain current best practices in corporate governance. The Corporate Governance Principles describe our corporate governance practices and policies and provide a framework for our Board governance. The topics addressed in our Corporate Governance Principles include, among other things:</w:t>
      </w:r>
    </w:p>
    <w:p>
      <w:pPr>
        <w:spacing w:after="0" w:line="207"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Role of the lead independent director;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 independence;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 qualifications, functions and tenure;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Committees of the Board;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 orientation and continuing education;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development and succession planning;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 resignation policy in uncontested elections;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25" w:lineRule="exact"/>
        <w:rPr>
          <w:sz w:val="20"/>
          <w:szCs w:val="20"/>
          <w:color w:val="auto"/>
        </w:rPr>
      </w:pPr>
    </w:p>
    <w:p>
      <w:pPr>
        <w:ind w:right="640" w:firstLine="614"/>
        <w:spacing w:after="0" w:line="331" w:lineRule="auto"/>
        <w:rPr>
          <w:sz w:val="20"/>
          <w:szCs w:val="20"/>
          <w:color w:val="auto"/>
        </w:rPr>
      </w:pPr>
      <w:r>
        <w:rPr>
          <w:rFonts w:ascii="Arial" w:cs="Arial" w:eastAsia="Arial" w:hAnsi="Arial"/>
          <w:sz w:val="16"/>
          <w:szCs w:val="16"/>
          <w:color w:val="auto"/>
        </w:rPr>
        <w:t>Our Corporate Governance Principles are available on our website at www.wfscorp.com by clicking on Investor Relations and then Corporate Governance. Copies of this document may also be obtained by any shareholder, without charge, by writing to our Corporate Secretary.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Committees of the Board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Board has five standing committees: the Audit Committee, the Compensation Committee, the Governance Committee, the Sustainability &amp;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Corporate Responsibility Committee and the Technology &amp; Operations Committee. The following table illustrates the current membership of each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Board's committees, which are composed entirely of independent directors:</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Sustainability &amp;</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Corporate</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Technology &amp;</w:t>
            </w:r>
          </w:p>
        </w:tc>
      </w:tr>
      <w:tr>
        <w:trPr>
          <w:trHeight w:val="161"/>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Director</w:t>
            </w:r>
          </w:p>
        </w:tc>
        <w:tc>
          <w:tcPr>
            <w:tcW w:w="160" w:type="dxa"/>
            <w:vAlign w:val="bottom"/>
          </w:tcPr>
          <w:p>
            <w:pPr>
              <w:spacing w:after="0"/>
              <w:rPr>
                <w:sz w:val="14"/>
                <w:szCs w:val="14"/>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Audit</w:t>
            </w:r>
          </w:p>
        </w:tc>
        <w:tc>
          <w:tcPr>
            <w:tcW w:w="160" w:type="dxa"/>
            <w:vAlign w:val="bottom"/>
          </w:tcPr>
          <w:p>
            <w:pPr>
              <w:spacing w:after="0"/>
              <w:rPr>
                <w:sz w:val="14"/>
                <w:szCs w:val="14"/>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5"/>
              </w:rPr>
              <w:t>Compensation</w:t>
            </w:r>
          </w:p>
        </w:tc>
        <w:tc>
          <w:tcPr>
            <w:tcW w:w="160" w:type="dxa"/>
            <w:vAlign w:val="bottom"/>
          </w:tcPr>
          <w:p>
            <w:pPr>
              <w:spacing w:after="0"/>
              <w:rPr>
                <w:sz w:val="14"/>
                <w:szCs w:val="14"/>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Governance</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Responsibility</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Operations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291465</wp:posOffset>
            </wp:positionV>
            <wp:extent cx="16256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291465</wp:posOffset>
            </wp:positionV>
            <wp:extent cx="16319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291465</wp:posOffset>
            </wp:positionV>
            <wp:extent cx="16319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20" w:type="dxa"/>
            <w:vAlign w:val="bottom"/>
          </w:tcPr>
          <w:p>
            <w:pPr>
              <w:spacing w:after="0"/>
              <w:rPr>
                <w:sz w:val="21"/>
                <w:szCs w:val="21"/>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Ken Bakshi</w:t>
            </w:r>
          </w:p>
        </w:tc>
        <w:tc>
          <w:tcPr>
            <w:tcW w:w="50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Chair</w:t>
            </w:r>
          </w:p>
        </w:tc>
        <w:tc>
          <w:tcPr>
            <w:tcW w:w="920" w:type="dxa"/>
            <w:vAlign w:val="bottom"/>
            <w:shd w:val="clear" w:color="auto" w:fill="CCEEFF"/>
          </w:tcPr>
          <w:p>
            <w:pPr>
              <w:spacing w:after="0"/>
              <w:rPr>
                <w:sz w:val="21"/>
                <w:szCs w:val="21"/>
                <w:color w:val="auto"/>
              </w:rPr>
            </w:pPr>
          </w:p>
        </w:tc>
        <w:tc>
          <w:tcPr>
            <w:tcW w:w="1100" w:type="dxa"/>
            <w:vAlign w:val="bottom"/>
          </w:tcPr>
          <w:p>
            <w:pPr>
              <w:spacing w:after="0"/>
              <w:rPr>
                <w:sz w:val="21"/>
                <w:szCs w:val="21"/>
                <w:color w:val="auto"/>
              </w:rPr>
            </w:pPr>
          </w:p>
        </w:tc>
      </w:tr>
      <w:tr>
        <w:trPr>
          <w:trHeight w:val="458"/>
        </w:trPr>
        <w:tc>
          <w:tcPr>
            <w:tcW w:w="1120" w:type="dxa"/>
            <w:vAlign w:val="bottom"/>
          </w:tcPr>
          <w:p>
            <w:pPr>
              <w:spacing w:after="0"/>
              <w:rPr>
                <w:sz w:val="24"/>
                <w:szCs w:val="24"/>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Jorge L. Benitez</w:t>
            </w:r>
          </w:p>
        </w:tc>
        <w:tc>
          <w:tcPr>
            <w:tcW w:w="5020" w:type="dxa"/>
            <w:vAlign w:val="bottom"/>
          </w:tcPr>
          <w:p>
            <w:pPr>
              <w:ind w:left="4200"/>
              <w:spacing w:after="0"/>
              <w:rPr>
                <w:sz w:val="20"/>
                <w:szCs w:val="20"/>
                <w:color w:val="auto"/>
              </w:rPr>
            </w:pPr>
            <w:r>
              <w:rPr>
                <w:rFonts w:ascii="Arial" w:cs="Arial" w:eastAsia="Arial" w:hAnsi="Arial"/>
                <w:sz w:val="18"/>
                <w:szCs w:val="18"/>
                <w:color w:val="auto"/>
              </w:rPr>
              <w:t>Chair</w:t>
            </w:r>
          </w:p>
        </w:tc>
        <w:tc>
          <w:tcPr>
            <w:tcW w:w="2020" w:type="dxa"/>
            <w:vAlign w:val="bottom"/>
            <w:gridSpan w:val="2"/>
          </w:tcPr>
          <w:p>
            <w:pPr>
              <w:ind w:left="300"/>
              <w:spacing w:after="0"/>
              <w:rPr>
                <w:sz w:val="20"/>
                <w:szCs w:val="20"/>
                <w:color w:val="auto"/>
              </w:rPr>
            </w:pPr>
            <w:r>
              <w:rPr>
                <w:rFonts w:ascii="Arial" w:cs="Arial" w:eastAsia="Arial" w:hAnsi="Arial"/>
                <w:sz w:val="18"/>
                <w:szCs w:val="18"/>
                <w:color w:val="auto"/>
              </w:rPr>
              <w:t>Chair</w:t>
            </w:r>
          </w:p>
        </w:tc>
      </w:tr>
      <w:tr>
        <w:trPr>
          <w:trHeight w:val="460"/>
        </w:trPr>
        <w:tc>
          <w:tcPr>
            <w:tcW w:w="1120" w:type="dxa"/>
            <w:vAlign w:val="bottom"/>
          </w:tcPr>
          <w:p>
            <w:pPr>
              <w:spacing w:after="0"/>
              <w:rPr>
                <w:sz w:val="24"/>
                <w:szCs w:val="2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Sharda Cherwoo</w:t>
            </w:r>
          </w:p>
        </w:tc>
        <w:tc>
          <w:tcPr>
            <w:tcW w:w="50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100" w:type="dxa"/>
            <w:vAlign w:val="bottom"/>
          </w:tcPr>
          <w:p>
            <w:pPr>
              <w:spacing w:after="0"/>
              <w:rPr>
                <w:sz w:val="24"/>
                <w:szCs w:val="24"/>
                <w:color w:val="auto"/>
              </w:rPr>
            </w:pPr>
          </w:p>
        </w:tc>
      </w:tr>
      <w:tr>
        <w:trPr>
          <w:trHeight w:val="458"/>
        </w:trPr>
        <w:tc>
          <w:tcPr>
            <w:tcW w:w="1120" w:type="dxa"/>
            <w:vAlign w:val="bottom"/>
          </w:tcPr>
          <w:p>
            <w:pPr>
              <w:spacing w:after="0"/>
              <w:rPr>
                <w:sz w:val="24"/>
                <w:szCs w:val="24"/>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Stephen J. Gold</w:t>
            </w:r>
          </w:p>
        </w:tc>
        <w:tc>
          <w:tcPr>
            <w:tcW w:w="5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0"/>
        </w:trPr>
        <w:tc>
          <w:tcPr>
            <w:tcW w:w="1120" w:type="dxa"/>
            <w:vAlign w:val="bottom"/>
          </w:tcPr>
          <w:p>
            <w:pPr>
              <w:spacing w:after="0"/>
              <w:rPr>
                <w:sz w:val="24"/>
                <w:szCs w:val="2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Richard A. Kassar</w:t>
            </w:r>
          </w:p>
        </w:tc>
        <w:tc>
          <w:tcPr>
            <w:tcW w:w="50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100" w:type="dxa"/>
            <w:vAlign w:val="bottom"/>
          </w:tcPr>
          <w:p>
            <w:pPr>
              <w:spacing w:after="0"/>
              <w:rPr>
                <w:sz w:val="24"/>
                <w:szCs w:val="24"/>
                <w:color w:val="auto"/>
              </w:rPr>
            </w:pPr>
          </w:p>
        </w:tc>
      </w:tr>
      <w:tr>
        <w:trPr>
          <w:trHeight w:val="458"/>
        </w:trPr>
        <w:tc>
          <w:tcPr>
            <w:tcW w:w="1120" w:type="dxa"/>
            <w:vAlign w:val="bottom"/>
          </w:tcPr>
          <w:p>
            <w:pPr>
              <w:spacing w:after="0"/>
              <w:rPr>
                <w:sz w:val="24"/>
                <w:szCs w:val="24"/>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John L. Manley</w:t>
            </w:r>
          </w:p>
        </w:tc>
        <w:tc>
          <w:tcPr>
            <w:tcW w:w="5020" w:type="dxa"/>
            <w:vAlign w:val="bottom"/>
          </w:tcPr>
          <w:p>
            <w:pPr>
              <w:ind w:left="1320"/>
              <w:spacing w:after="0"/>
              <w:rPr>
                <w:sz w:val="20"/>
                <w:szCs w:val="20"/>
                <w:color w:val="auto"/>
              </w:rPr>
            </w:pPr>
            <w:r>
              <w:rPr>
                <w:rFonts w:ascii="Arial" w:cs="Arial" w:eastAsia="Arial" w:hAnsi="Arial"/>
                <w:sz w:val="18"/>
                <w:szCs w:val="18"/>
                <w:color w:val="auto"/>
              </w:rPr>
              <w:t>Chair</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0"/>
        </w:trPr>
        <w:tc>
          <w:tcPr>
            <w:tcW w:w="1120" w:type="dxa"/>
            <w:vAlign w:val="bottom"/>
          </w:tcPr>
          <w:p>
            <w:pPr>
              <w:spacing w:after="0"/>
              <w:rPr>
                <w:sz w:val="24"/>
                <w:szCs w:val="2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Stephen K. Roddenberry</w:t>
            </w:r>
          </w:p>
        </w:tc>
        <w:tc>
          <w:tcPr>
            <w:tcW w:w="502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Chair</w:t>
            </w:r>
          </w:p>
        </w:tc>
        <w:tc>
          <w:tcPr>
            <w:tcW w:w="920" w:type="dxa"/>
            <w:vAlign w:val="bottom"/>
            <w:shd w:val="clear" w:color="auto" w:fill="CCEEFF"/>
          </w:tcPr>
          <w:p>
            <w:pPr>
              <w:spacing w:after="0"/>
              <w:rPr>
                <w:sz w:val="24"/>
                <w:szCs w:val="24"/>
                <w:color w:val="auto"/>
              </w:rPr>
            </w:pPr>
          </w:p>
        </w:tc>
        <w:tc>
          <w:tcPr>
            <w:tcW w:w="1100" w:type="dxa"/>
            <w:vAlign w:val="bottom"/>
          </w:tcPr>
          <w:p>
            <w:pPr>
              <w:spacing w:after="0"/>
              <w:rPr>
                <w:sz w:val="24"/>
                <w:szCs w:val="24"/>
                <w:color w:val="auto"/>
              </w:rPr>
            </w:pPr>
          </w:p>
        </w:tc>
      </w:tr>
      <w:tr>
        <w:trPr>
          <w:trHeight w:val="457"/>
        </w:trPr>
        <w:tc>
          <w:tcPr>
            <w:tcW w:w="1120" w:type="dxa"/>
            <w:vAlign w:val="bottom"/>
          </w:tcPr>
          <w:p>
            <w:pPr>
              <w:spacing w:after="0"/>
              <w:rPr>
                <w:sz w:val="24"/>
                <w:szCs w:val="24"/>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Paul H. Stebbins</w:t>
            </w:r>
          </w:p>
        </w:tc>
        <w:tc>
          <w:tcPr>
            <w:tcW w:w="5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1"/>
        </w:trPr>
        <w:tc>
          <w:tcPr>
            <w:tcW w:w="1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020" w:type="dxa"/>
            <w:vAlign w:val="bottom"/>
          </w:tcPr>
          <w:p>
            <w:pPr>
              <w:ind w:left="2160"/>
              <w:spacing w:after="0"/>
              <w:rPr>
                <w:sz w:val="20"/>
                <w:szCs w:val="20"/>
                <w:color w:val="auto"/>
              </w:rPr>
            </w:pPr>
            <w:r>
              <w:rPr>
                <w:rFonts w:ascii="Arial" w:cs="Arial" w:eastAsia="Arial" w:hAnsi="Arial"/>
                <w:sz w:val="18"/>
                <w:szCs w:val="18"/>
                <w:b w:val="1"/>
                <w:bCs w:val="1"/>
                <w:color w:val="0048E0"/>
                <w:w w:val="94"/>
              </w:rPr>
              <w:t xml:space="preserve">World Fuel Services Corporation   </w:t>
            </w:r>
            <w:r>
              <w:rPr>
                <w:rFonts w:ascii="Arial" w:cs="Arial" w:eastAsia="Arial" w:hAnsi="Arial"/>
                <w:sz w:val="17"/>
                <w:szCs w:val="17"/>
                <w:b w:val="1"/>
                <w:bCs w:val="1"/>
                <w:color w:val="000000"/>
                <w:w w:val="94"/>
              </w:rPr>
              <w:t>|</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w w:val="91"/>
              </w:rPr>
              <w:t>2020 Proxy Statement  15</w:t>
            </w:r>
          </w:p>
        </w:tc>
      </w:tr>
      <w:tr>
        <w:trPr>
          <w:trHeight w:val="199"/>
        </w:trPr>
        <w:tc>
          <w:tcPr>
            <w:tcW w:w="1120" w:type="dxa"/>
            <w:vAlign w:val="bottom"/>
            <w:tcBorders>
              <w:bottom w:val="single" w:sz="8" w:color="808080"/>
            </w:tcBorders>
          </w:tcPr>
          <w:p>
            <w:pPr>
              <w:spacing w:after="0"/>
              <w:rPr>
                <w:sz w:val="17"/>
                <w:szCs w:val="17"/>
                <w:color w:val="auto"/>
              </w:rPr>
            </w:pPr>
          </w:p>
        </w:tc>
        <w:tc>
          <w:tcPr>
            <w:tcW w:w="3080" w:type="dxa"/>
            <w:vAlign w:val="bottom"/>
            <w:tcBorders>
              <w:bottom w:val="single" w:sz="8" w:color="808080"/>
            </w:tcBorders>
          </w:tcPr>
          <w:p>
            <w:pPr>
              <w:spacing w:after="0"/>
              <w:rPr>
                <w:sz w:val="17"/>
                <w:szCs w:val="17"/>
                <w:color w:val="auto"/>
              </w:rPr>
            </w:pPr>
          </w:p>
        </w:tc>
        <w:tc>
          <w:tcPr>
            <w:tcW w:w="502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-2332990</wp:posOffset>
            </wp:positionV>
            <wp:extent cx="16319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-2332990</wp:posOffset>
            </wp:positionV>
            <wp:extent cx="16256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-2041525</wp:posOffset>
            </wp:positionV>
            <wp:extent cx="16256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-2041525</wp:posOffset>
            </wp:positionV>
            <wp:extent cx="16319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-2041525</wp:posOffset>
            </wp:positionV>
            <wp:extent cx="16319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-1750060</wp:posOffset>
            </wp:positionV>
            <wp:extent cx="16256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-1750060</wp:posOffset>
            </wp:positionV>
            <wp:extent cx="16319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-1458595</wp:posOffset>
            </wp:positionV>
            <wp:extent cx="16319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-1458595</wp:posOffset>
            </wp:positionV>
            <wp:extent cx="16319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-1458595</wp:posOffset>
            </wp:positionV>
            <wp:extent cx="16256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-1458595</wp:posOffset>
            </wp:positionV>
            <wp:extent cx="16319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-1167130</wp:posOffset>
            </wp:positionV>
            <wp:extent cx="16256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2560"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-1167130</wp:posOffset>
            </wp:positionV>
            <wp:extent cx="16319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-875665</wp:posOffset>
            </wp:positionV>
            <wp:extent cx="16319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-584200</wp:posOffset>
            </wp:positionV>
            <wp:extent cx="16319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605"/>
        <w:spacing w:after="0" w:line="268" w:lineRule="auto"/>
        <w:rPr>
          <w:sz w:val="20"/>
          <w:szCs w:val="20"/>
          <w:color w:val="auto"/>
        </w:rPr>
      </w:pPr>
      <w:r>
        <w:rPr>
          <w:rFonts w:ascii="Arial" w:cs="Arial" w:eastAsia="Arial" w:hAnsi="Arial"/>
          <w:sz w:val="18"/>
          <w:szCs w:val="18"/>
          <w:color w:val="auto"/>
        </w:rPr>
        <w:t>As discussed above, Mr. Gold will not be standing for re-election at the 2020 Annual Meeting, thus the size of the Governance Committee will be reduced to six members and the size of the Technology &amp; Operations Committee will be reduced to five members.</w:t>
      </w:r>
    </w:p>
    <w:p>
      <w:pPr>
        <w:spacing w:after="0" w:line="186" w:lineRule="exact"/>
        <w:rPr>
          <w:sz w:val="20"/>
          <w:szCs w:val="20"/>
          <w:color w:val="auto"/>
        </w:rPr>
      </w:pPr>
    </w:p>
    <w:p>
      <w:pPr>
        <w:ind w:right="80" w:firstLine="614"/>
        <w:spacing w:after="0" w:line="294" w:lineRule="auto"/>
        <w:rPr>
          <w:sz w:val="20"/>
          <w:szCs w:val="20"/>
          <w:color w:val="auto"/>
        </w:rPr>
      </w:pPr>
      <w:r>
        <w:rPr>
          <w:rFonts w:ascii="Arial" w:cs="Arial" w:eastAsia="Arial" w:hAnsi="Arial"/>
          <w:sz w:val="16"/>
          <w:szCs w:val="16"/>
          <w:color w:val="auto"/>
        </w:rPr>
        <w:t>Each of the Board's committees operates under a written charter adopted by our Board which addresses the purpose, duties and responsibilities of the committee. Each committee reviews its charter at least annually and recommends charter changes to the Board as appropriate. During 2019, each of the committees in existence at the time reviewed and revised its charter. The Sustainability &amp; Corporate Responsibility Committee was formed in March 2020 and its initial charter was adopted by the Board upon the committee's inception. A current copy of each committee charter can be found on our website at www.wfscorp.com by clicking on Investor Relations and then Corporate Governance.</w:t>
      </w:r>
    </w:p>
    <w:p>
      <w:pPr>
        <w:sectPr>
          <w:pgSz w:w="11900" w:h="16838" w:orient="portrait"/>
          <w:cols w:equalWidth="0" w:num="1">
            <w:col w:w="11240"/>
          </w:cols>
          <w:pgMar w:left="320" w:top="131" w:right="339" w:bottom="1440" w:gutter="0" w:footer="0" w:header="0"/>
        </w:sectPr>
      </w:pP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E"/>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7620</wp:posOffset>
            </wp:positionV>
            <wp:extent cx="1825625" cy="5349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25625" cy="5349240"/>
                    </a:xfrm>
                    <a:prstGeom prst="rect">
                      <a:avLst/>
                    </a:prstGeom>
                    <a:noFill/>
                  </pic:spPr>
                </pic:pic>
              </a:graphicData>
            </a:graphic>
          </wp:anchor>
        </w:drawing>
      </w:r>
    </w:p>
    <w:p>
      <w:pPr>
        <w:spacing w:after="0" w:line="199" w:lineRule="exact"/>
        <w:rPr>
          <w:sz w:val="20"/>
          <w:szCs w:val="20"/>
          <w:color w:val="auto"/>
        </w:rPr>
      </w:pPr>
    </w:p>
    <w:p>
      <w:pPr>
        <w:ind w:left="1360"/>
        <w:spacing w:after="0"/>
        <w:rPr>
          <w:sz w:val="20"/>
          <w:szCs w:val="20"/>
          <w:color w:val="auto"/>
        </w:rPr>
      </w:pPr>
      <w:r>
        <w:rPr>
          <w:rFonts w:ascii="Arial" w:cs="Arial" w:eastAsia="Arial" w:hAnsi="Arial"/>
          <w:sz w:val="18"/>
          <w:szCs w:val="18"/>
          <w:b w:val="1"/>
          <w:bCs w:val="1"/>
          <w:i w:val="1"/>
          <w:iCs w:val="1"/>
          <w:color w:val="0048E0"/>
        </w:rPr>
        <w:t>Members:</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John L. Manley (Chair)</w:t>
      </w:r>
    </w:p>
    <w:p>
      <w:pPr>
        <w:spacing w:after="0" w:line="24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Jorge L. Benitez</w:t>
      </w:r>
    </w:p>
    <w:p>
      <w:pPr>
        <w:spacing w:after="0" w:line="225"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Richard A. Kassar</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b w:val="1"/>
          <w:bCs w:val="1"/>
          <w:i w:val="1"/>
          <w:iCs w:val="1"/>
          <w:color w:val="0048E0"/>
        </w:rPr>
        <w:t xml:space="preserve">Meetings in 2019: </w:t>
      </w:r>
      <w:r>
        <w:rPr>
          <w:rFonts w:ascii="Arial" w:cs="Arial" w:eastAsia="Arial" w:hAnsi="Arial"/>
          <w:sz w:val="18"/>
          <w:szCs w:val="18"/>
          <w:color w:val="000000"/>
        </w:rPr>
        <w:t>10</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-1931035</wp:posOffset>
            </wp:positionH>
            <wp:positionV relativeFrom="paragraph">
              <wp:posOffset>-219710</wp:posOffset>
            </wp:positionV>
            <wp:extent cx="5349240"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49240" cy="939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responsibilities include:</w:t>
      </w:r>
    </w:p>
    <w:p>
      <w:pPr>
        <w:spacing w:after="0" w:line="225" w:lineRule="exact"/>
        <w:rPr>
          <w:sz w:val="20"/>
          <w:szCs w:val="20"/>
          <w:color w:val="auto"/>
        </w:rPr>
      </w:pPr>
    </w:p>
    <w:p>
      <w:pPr>
        <w:ind w:left="460" w:right="1480" w:hanging="287"/>
        <w:spacing w:after="0" w:line="33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overseeing and reviewing the financial reporting process and the integrity of our financial statements and related financial information;</w:t>
      </w:r>
    </w:p>
    <w:p>
      <w:pPr>
        <w:spacing w:after="0" w:line="140" w:lineRule="exact"/>
        <w:rPr>
          <w:rFonts w:ascii="Arial" w:cs="Arial" w:eastAsia="Arial" w:hAnsi="Arial"/>
          <w:sz w:val="16"/>
          <w:szCs w:val="16"/>
          <w:color w:val="auto"/>
        </w:rPr>
      </w:pPr>
    </w:p>
    <w:p>
      <w:pPr>
        <w:jc w:val="both"/>
        <w:ind w:left="460" w:right="1760" w:hanging="287"/>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qualifications, performance and independence, and approving the appointment and compensation of, our independent auditors;</w:t>
      </w:r>
    </w:p>
    <w:p>
      <w:pPr>
        <w:spacing w:after="0" w:line="193" w:lineRule="exact"/>
        <w:rPr>
          <w:rFonts w:ascii="Arial" w:cs="Arial" w:eastAsia="Arial" w:hAnsi="Arial"/>
          <w:sz w:val="18"/>
          <w:szCs w:val="18"/>
          <w:color w:val="auto"/>
        </w:rPr>
      </w:pPr>
    </w:p>
    <w:p>
      <w:pPr>
        <w:ind w:left="460" w:right="1920" w:hanging="287"/>
        <w:spacing w:after="0" w:line="323"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reviewing with our independent auditors the results of the audit engagement, including a review of the consolidated financial statements and other matters required to be discussed under the standards of the Public Company Accounting Oversight Board;</w:t>
      </w:r>
    </w:p>
    <w:p>
      <w:pPr>
        <w:spacing w:after="0" w:line="151" w:lineRule="exact"/>
        <w:rPr>
          <w:rFonts w:ascii="Arial" w:cs="Arial" w:eastAsia="Arial" w:hAnsi="Arial"/>
          <w:sz w:val="15"/>
          <w:szCs w:val="15"/>
          <w:color w:val="auto"/>
        </w:rPr>
      </w:pPr>
    </w:p>
    <w:p>
      <w:pPr>
        <w:ind w:left="460" w:right="1660" w:hanging="287"/>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effectiveness of our internal audit function as well as our internal control environment and systems;</w:t>
      </w:r>
    </w:p>
    <w:p>
      <w:pPr>
        <w:spacing w:after="0" w:line="185" w:lineRule="exact"/>
        <w:rPr>
          <w:rFonts w:ascii="Arial" w:cs="Arial" w:eastAsia="Arial" w:hAnsi="Arial"/>
          <w:sz w:val="18"/>
          <w:szCs w:val="18"/>
          <w:color w:val="auto"/>
        </w:rPr>
      </w:pPr>
    </w:p>
    <w:p>
      <w:pPr>
        <w:ind w:left="460" w:right="1880" w:hanging="287"/>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approving all audit and non-audit services to be provided by our independent auditors;</w:t>
      </w:r>
    </w:p>
    <w:p>
      <w:pPr>
        <w:spacing w:after="0" w:line="185" w:lineRule="exact"/>
        <w:rPr>
          <w:rFonts w:ascii="Arial" w:cs="Arial" w:eastAsia="Arial" w:hAnsi="Arial"/>
          <w:sz w:val="18"/>
          <w:szCs w:val="18"/>
          <w:color w:val="auto"/>
        </w:rPr>
      </w:pPr>
    </w:p>
    <w:p>
      <w:pPr>
        <w:ind w:left="460" w:right="1880" w:hanging="287"/>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discussing with management financial risks and the policies and practices established to manage such risks;</w:t>
      </w:r>
    </w:p>
    <w:p>
      <w:pPr>
        <w:spacing w:after="0" w:line="185" w:lineRule="exact"/>
        <w:rPr>
          <w:rFonts w:ascii="Arial" w:cs="Arial" w:eastAsia="Arial" w:hAnsi="Arial"/>
          <w:sz w:val="18"/>
          <w:szCs w:val="18"/>
          <w:color w:val="auto"/>
        </w:rPr>
      </w:pPr>
    </w:p>
    <w:p>
      <w:pPr>
        <w:ind w:left="460" w:right="1500" w:hanging="287"/>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together with the Technology &amp; Operations Committee, reviewing our cybersecurity and related information technology risks, controls and procedures, including plans to mitigate cybersecurity risks and to respond to data breaches;</w:t>
      </w:r>
    </w:p>
    <w:p>
      <w:pPr>
        <w:spacing w:after="0" w:line="196" w:lineRule="exact"/>
        <w:rPr>
          <w:rFonts w:ascii="Arial" w:cs="Arial" w:eastAsia="Arial" w:hAnsi="Arial"/>
          <w:sz w:val="18"/>
          <w:szCs w:val="18"/>
          <w:color w:val="auto"/>
        </w:rPr>
      </w:pPr>
    </w:p>
    <w:p>
      <w:pPr>
        <w:ind w:left="460" w:right="1640" w:hanging="287"/>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and reviewing our compliance with applicable laws and regulations and our Code of Conduct; and</w:t>
      </w:r>
    </w:p>
    <w:p>
      <w:pPr>
        <w:spacing w:after="0" w:line="185" w:lineRule="exact"/>
        <w:rPr>
          <w:rFonts w:ascii="Arial" w:cs="Arial" w:eastAsia="Arial" w:hAnsi="Arial"/>
          <w:sz w:val="18"/>
          <w:szCs w:val="18"/>
          <w:color w:val="auto"/>
        </w:rPr>
      </w:pPr>
    </w:p>
    <w:p>
      <w:pPr>
        <w:ind w:left="460" w:right="1500" w:hanging="287"/>
        <w:spacing w:after="0" w:line="294"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establishing procedures for: (i) the receipt, retention, and treatment of complaints we receive from our employees regarding accounting, internal accounting controls, and auditing matters; and (ii) the confidential, anonymous submission by employees of concerns regarding questionable accounting or auditing matters.</w:t>
      </w:r>
    </w:p>
    <w:p>
      <w:pPr>
        <w:spacing w:after="0" w:line="175" w:lineRule="exact"/>
        <w:rPr>
          <w:sz w:val="20"/>
          <w:szCs w:val="20"/>
          <w:color w:val="auto"/>
        </w:rPr>
      </w:pPr>
    </w:p>
    <w:p>
      <w:pPr>
        <w:sectPr>
          <w:pgSz w:w="11900" w:h="16838" w:orient="portrait"/>
          <w:cols w:equalWidth="0" w:num="2">
            <w:col w:w="3680" w:space="720"/>
            <w:col w:w="6840"/>
          </w:cols>
          <w:pgMar w:left="320" w:top="131" w:right="339" w:bottom="1440" w:gutter="0" w:footer="0" w:header="0"/>
          <w:type w:val="continuous"/>
        </w:sectPr>
      </w:pPr>
    </w:p>
    <w:p>
      <w:pPr>
        <w:ind w:left="6360"/>
        <w:spacing w:after="0"/>
        <w:tabs>
          <w:tab w:leader="none" w:pos="9060" w:val="left"/>
          <w:tab w:leader="none" w:pos="9300" w:val="left"/>
          <w:tab w:leader="none" w:pos="110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147955</wp:posOffset>
            </wp:positionV>
            <wp:extent cx="1825625" cy="31546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2562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E"/>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7620</wp:posOffset>
            </wp:positionV>
            <wp:extent cx="1825625" cy="384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25625" cy="38404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b w:val="1"/>
          <w:bCs w:val="1"/>
          <w:i w:val="1"/>
          <w:iCs w:val="1"/>
          <w:color w:val="0048E0"/>
        </w:rPr>
        <w:t>Members:</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Ken Bakshi (Chair)</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Richard A. Kassar</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Stephen K. Roddenberry</w:t>
      </w: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8"/>
          <w:szCs w:val="18"/>
          <w:b w:val="1"/>
          <w:bCs w:val="1"/>
          <w:i w:val="1"/>
          <w:iCs w:val="1"/>
          <w:color w:val="0048E0"/>
        </w:rPr>
        <w:t xml:space="preserve">Meetings in 2019: </w:t>
      </w:r>
      <w:r>
        <w:rPr>
          <w:rFonts w:ascii="Arial" w:cs="Arial" w:eastAsia="Arial" w:hAnsi="Arial"/>
          <w:sz w:val="18"/>
          <w:szCs w:val="18"/>
          <w:color w:val="000000"/>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Independence and Financial Expertise</w:t>
      </w:r>
    </w:p>
    <w:p>
      <w:pPr>
        <w:spacing w:after="0" w:line="225" w:lineRule="exact"/>
        <w:rPr>
          <w:sz w:val="20"/>
          <w:szCs w:val="20"/>
          <w:color w:val="auto"/>
        </w:rPr>
      </w:pPr>
    </w:p>
    <w:p>
      <w:pPr>
        <w:ind w:right="1560"/>
        <w:spacing w:after="0" w:line="306" w:lineRule="auto"/>
        <w:rPr>
          <w:sz w:val="20"/>
          <w:szCs w:val="20"/>
          <w:color w:val="auto"/>
        </w:rPr>
      </w:pPr>
      <w:r>
        <w:rPr>
          <w:rFonts w:ascii="Arial" w:cs="Arial" w:eastAsia="Arial" w:hAnsi="Arial"/>
          <w:sz w:val="16"/>
          <w:szCs w:val="16"/>
          <w:color w:val="auto"/>
        </w:rPr>
        <w:t>The Board reviewed the background, experience and independence of the Audit Committee members and based on this review, the Board determined that each member of the Audit Committee:</w:t>
      </w:r>
    </w:p>
    <w:p>
      <w:pPr>
        <w:spacing w:after="0" w:line="160" w:lineRule="exact"/>
        <w:rPr>
          <w:sz w:val="20"/>
          <w:szCs w:val="20"/>
          <w:color w:val="auto"/>
        </w:rPr>
      </w:pPr>
    </w:p>
    <w:p>
      <w:pPr>
        <w:ind w:left="460" w:right="2140" w:hanging="287"/>
        <w:spacing w:after="0" w:line="369"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meets the NYSE listing standards and SEC requirements for independence with respect to audit committee members;</w:t>
      </w:r>
    </w:p>
    <w:p>
      <w:pPr>
        <w:spacing w:after="0" w:line="117" w:lineRule="exact"/>
        <w:rPr>
          <w:rFonts w:ascii="Arial" w:cs="Arial" w:eastAsia="Arial" w:hAnsi="Arial"/>
          <w:sz w:val="15"/>
          <w:szCs w:val="15"/>
          <w:color w:val="auto"/>
        </w:rPr>
      </w:pPr>
    </w:p>
    <w:p>
      <w:pPr>
        <w:ind w:left="460" w:right="1460" w:hanging="287"/>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financially literate, knowledgeable and qualified to review financial statements; and</w:t>
      </w:r>
    </w:p>
    <w:p>
      <w:pPr>
        <w:spacing w:after="0" w:line="185" w:lineRule="exact"/>
        <w:rPr>
          <w:rFonts w:ascii="Arial" w:cs="Arial" w:eastAsia="Arial" w:hAnsi="Arial"/>
          <w:sz w:val="18"/>
          <w:szCs w:val="18"/>
          <w:color w:val="auto"/>
        </w:rPr>
      </w:pPr>
    </w:p>
    <w:p>
      <w:pPr>
        <w:ind w:left="460" w:right="1840" w:hanging="287"/>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qualifies as an "audit committee financial expert" under the SEC rules.</w:t>
      </w:r>
    </w:p>
    <w:p>
      <w:pPr>
        <w:spacing w:after="0" w:line="186" w:lineRule="exact"/>
        <w:rPr>
          <w:sz w:val="20"/>
          <w:szCs w:val="20"/>
          <w:color w:val="auto"/>
        </w:rPr>
      </w:pPr>
    </w:p>
    <w:p>
      <w:pPr>
        <w:ind w:right="1500"/>
        <w:spacing w:after="0" w:line="291" w:lineRule="auto"/>
        <w:rPr>
          <w:sz w:val="20"/>
          <w:szCs w:val="20"/>
          <w:color w:val="auto"/>
        </w:rPr>
      </w:pPr>
      <w:r>
        <w:rPr>
          <w:rFonts w:ascii="Arial" w:cs="Arial" w:eastAsia="Arial" w:hAnsi="Arial"/>
          <w:sz w:val="16"/>
          <w:szCs w:val="16"/>
          <w:color w:val="auto"/>
        </w:rPr>
        <w:t>The charter provides that a member of the Audit Committee shall not simultaneously serve on the audit committees of more than two other public companies unless the Board determines that simultaneous service would not impair the ability of the member to effectively serve on the Audit Committee. None of the members of our Audit Committee currently serve on the audit committees of more than two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-1931035</wp:posOffset>
            </wp:positionH>
            <wp:positionV relativeFrom="paragraph">
              <wp:posOffset>252730</wp:posOffset>
            </wp:positionV>
            <wp:extent cx="5349240"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49240" cy="9398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Responsibilities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Committee's responsibilities include:</w:t>
      </w:r>
    </w:p>
    <w:p>
      <w:pPr>
        <w:spacing w:after="0" w:line="225" w:lineRule="exact"/>
        <w:rPr>
          <w:sz w:val="20"/>
          <w:szCs w:val="20"/>
          <w:color w:val="auto"/>
        </w:rPr>
      </w:pPr>
    </w:p>
    <w:p>
      <w:pPr>
        <w:jc w:val="both"/>
        <w:ind w:left="460" w:right="1600" w:hanging="287"/>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annually, the goals and objectives relevant to the compensation of our CEO and, based upon recommendations of our CEO, our other executive officers;</w:t>
      </w:r>
    </w:p>
    <w:p>
      <w:pPr>
        <w:spacing w:after="0" w:line="193" w:lineRule="exact"/>
        <w:rPr>
          <w:rFonts w:ascii="Arial" w:cs="Arial" w:eastAsia="Arial" w:hAnsi="Arial"/>
          <w:sz w:val="18"/>
          <w:szCs w:val="18"/>
          <w:color w:val="auto"/>
        </w:rPr>
      </w:pPr>
    </w:p>
    <w:p>
      <w:pPr>
        <w:ind w:left="460" w:right="1600" w:hanging="287"/>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evaluating the performance of our CEO and other executive officers in light of such goals and objectives;</w:t>
      </w:r>
    </w:p>
    <w:p>
      <w:pPr>
        <w:spacing w:after="0" w:line="185" w:lineRule="exact"/>
        <w:rPr>
          <w:rFonts w:ascii="Arial" w:cs="Arial" w:eastAsia="Arial" w:hAnsi="Arial"/>
          <w:sz w:val="18"/>
          <w:szCs w:val="18"/>
          <w:color w:val="auto"/>
        </w:rPr>
      </w:pPr>
    </w:p>
    <w:p>
      <w:pPr>
        <w:ind w:left="460" w:right="1720" w:hanging="287"/>
        <w:spacing w:after="0" w:line="323"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establishing the compensation levels of our CEO and our other executive officers, including long-term incentive compensation, based on this evaluation, and approving the compensation of other executive officers based upon recommendations of our CEO;</w:t>
      </w:r>
    </w:p>
    <w:p>
      <w:pPr>
        <w:spacing w:after="0" w:line="151" w:lineRule="exact"/>
        <w:rPr>
          <w:rFonts w:ascii="Arial" w:cs="Arial" w:eastAsia="Arial" w:hAnsi="Arial"/>
          <w:sz w:val="15"/>
          <w:szCs w:val="15"/>
          <w:color w:val="auto"/>
        </w:rPr>
      </w:pPr>
    </w:p>
    <w:p>
      <w:pPr>
        <w:jc w:val="both"/>
        <w:ind w:left="460" w:right="1520" w:hanging="287"/>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stock option, equity based and incentive compensation plans and the administration of such plans;</w:t>
      </w:r>
    </w:p>
    <w:p>
      <w:pPr>
        <w:spacing w:after="0" w:line="193" w:lineRule="exact"/>
        <w:rPr>
          <w:rFonts w:ascii="Arial" w:cs="Arial" w:eastAsia="Arial" w:hAnsi="Arial"/>
          <w:sz w:val="18"/>
          <w:szCs w:val="18"/>
          <w:color w:val="auto"/>
        </w:rPr>
      </w:pPr>
    </w:p>
    <w:p>
      <w:pPr>
        <w:ind w:left="460" w:right="1600" w:hanging="287"/>
        <w:spacing w:after="0" w:line="33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establishing and monitoring our executive officers' compliance with stock retention and ownership requirements;</w:t>
      </w:r>
    </w:p>
    <w:p>
      <w:pPr>
        <w:spacing w:after="0" w:line="140" w:lineRule="exact"/>
        <w:rPr>
          <w:rFonts w:ascii="Arial" w:cs="Arial" w:eastAsia="Arial" w:hAnsi="Arial"/>
          <w:sz w:val="16"/>
          <w:szCs w:val="16"/>
          <w:color w:val="auto"/>
        </w:rPr>
      </w:pPr>
    </w:p>
    <w:p>
      <w:pPr>
        <w:ind w:left="460" w:right="1600" w:hanging="287"/>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approving any employment, severance and consulting arrangements with executive officers;</w:t>
      </w:r>
    </w:p>
    <w:p>
      <w:pPr>
        <w:spacing w:after="0" w:line="185" w:lineRule="exact"/>
        <w:rPr>
          <w:rFonts w:ascii="Arial" w:cs="Arial" w:eastAsia="Arial" w:hAnsi="Arial"/>
          <w:sz w:val="18"/>
          <w:szCs w:val="18"/>
          <w:color w:val="auto"/>
        </w:rPr>
      </w:pPr>
    </w:p>
    <w:p>
      <w:pPr>
        <w:ind w:left="460" w:right="1660" w:hanging="287"/>
        <w:spacing w:after="0" w:line="304"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reviewing annually, a risk assessment of our compensation policies and practices with respect to all employees, including NEOs;</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147955</wp:posOffset>
            </wp:positionV>
            <wp:extent cx="713613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3680" w:space="720"/>
            <w:col w:w="6840"/>
          </w:cols>
          <w:pgMar w:left="320" w:top="13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860" w:right="1560" w:hanging="287"/>
        <w:spacing w:after="0" w:line="306" w:lineRule="auto"/>
        <w:tabs>
          <w:tab w:leader="none" w:pos="4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included in our annual proxy statement and recommending such inclusion to the Board;</w:t>
      </w:r>
    </w:p>
    <w:p>
      <w:pPr>
        <w:spacing w:after="0" w:line="160" w:lineRule="exact"/>
        <w:rPr>
          <w:rFonts w:ascii="Arial" w:cs="Arial" w:eastAsia="Arial" w:hAnsi="Arial"/>
          <w:sz w:val="16"/>
          <w:szCs w:val="16"/>
          <w:color w:val="auto"/>
        </w:rPr>
      </w:pPr>
    </w:p>
    <w:p>
      <w:pPr>
        <w:ind w:left="4860" w:right="1540" w:hanging="287"/>
        <w:spacing w:after="0" w:line="331" w:lineRule="auto"/>
        <w:tabs>
          <w:tab w:leader="none" w:pos="4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and recommending to the Board the frequency with which we conduct advisory shareholder votes on executive compensation;</w:t>
      </w:r>
    </w:p>
    <w:p>
      <w:pPr>
        <w:spacing w:after="0" w:line="140" w:lineRule="exact"/>
        <w:rPr>
          <w:rFonts w:ascii="Arial" w:cs="Arial" w:eastAsia="Arial" w:hAnsi="Arial"/>
          <w:sz w:val="16"/>
          <w:szCs w:val="16"/>
          <w:color w:val="auto"/>
        </w:rPr>
      </w:pPr>
    </w:p>
    <w:p>
      <w:pPr>
        <w:jc w:val="both"/>
        <w:ind w:left="4860" w:right="1520" w:hanging="287"/>
        <w:spacing w:after="0" w:line="252" w:lineRule="auto"/>
        <w:tabs>
          <w:tab w:leader="none" w:pos="4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the results of any advisory shareholder votes on executive compensation and considering whether to recommend adjustments to our executive compensation policies and practices as a result of such votes;</w:t>
      </w:r>
    </w:p>
    <w:p>
      <w:pPr>
        <w:spacing w:after="0" w:line="1" w:lineRule="exact"/>
        <w:rPr>
          <w:rFonts w:ascii="Arial" w:cs="Arial" w:eastAsia="Arial" w:hAnsi="Arial"/>
          <w:sz w:val="18"/>
          <w:szCs w:val="18"/>
          <w:color w:val="auto"/>
        </w:rPr>
      </w:pPr>
    </w:p>
    <w:p>
      <w:pPr>
        <w:ind w:left="4860" w:right="1620" w:hanging="287"/>
        <w:spacing w:after="0" w:line="260" w:lineRule="auto"/>
        <w:tabs>
          <w:tab w:leader="none" w:pos="4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together with the Governance Committee, considering management development and succession; and</w:t>
      </w:r>
    </w:p>
    <w:p>
      <w:pPr>
        <w:spacing w:after="0" w:line="193" w:lineRule="exact"/>
        <w:rPr>
          <w:rFonts w:ascii="Arial" w:cs="Arial" w:eastAsia="Arial" w:hAnsi="Arial"/>
          <w:sz w:val="18"/>
          <w:szCs w:val="18"/>
          <w:color w:val="auto"/>
        </w:rPr>
      </w:pPr>
    </w:p>
    <w:p>
      <w:pPr>
        <w:ind w:left="4860" w:right="1580" w:hanging="287"/>
        <w:spacing w:after="0" w:line="331" w:lineRule="auto"/>
        <w:tabs>
          <w:tab w:leader="none" w:pos="4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making recommendations to the Board on non-management director compensation, including stock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-2236470</wp:posOffset>
            </wp:positionV>
            <wp:extent cx="1825625" cy="68580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25625" cy="6858000"/>
                    </a:xfrm>
                    <a:prstGeom prst="rect">
                      <a:avLst/>
                    </a:prstGeom>
                    <a:noFill/>
                  </pic:spPr>
                </pic:pic>
              </a:graphicData>
            </a:graphic>
          </wp:anchor>
        </w:drawing>
      </w:r>
    </w:p>
    <w:p>
      <w:pPr>
        <w:spacing w:after="0" w:line="1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i w:val="1"/>
          <w:iCs w:val="1"/>
          <w:color w:val="0048E0"/>
        </w:rPr>
        <w:t>Independence</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Board reviewed the background, experience and independence of the</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Compensation Committee members and based on this review, the Board</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determined that each member of the Compensation Committee is</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independent and a non-employee pursuant to:</w:t>
      </w:r>
    </w:p>
    <w:p>
      <w:pPr>
        <w:spacing w:after="0" w:line="219" w:lineRule="exact"/>
        <w:rPr>
          <w:sz w:val="20"/>
          <w:szCs w:val="20"/>
          <w:color w:val="auto"/>
        </w:rPr>
      </w:pPr>
    </w:p>
    <w:p>
      <w:pPr>
        <w:ind w:left="4860" w:hanging="287"/>
        <w:spacing w:after="0"/>
        <w:tabs>
          <w:tab w:leader="none" w:pos="4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NYSE listing standards; and</w:t>
      </w:r>
    </w:p>
    <w:p>
      <w:pPr>
        <w:spacing w:after="0" w:line="225" w:lineRule="exact"/>
        <w:rPr>
          <w:rFonts w:ascii="Arial" w:cs="Arial" w:eastAsia="Arial" w:hAnsi="Arial"/>
          <w:sz w:val="18"/>
          <w:szCs w:val="18"/>
          <w:color w:val="auto"/>
        </w:rPr>
      </w:pPr>
    </w:p>
    <w:p>
      <w:pPr>
        <w:ind w:left="4860" w:hanging="287"/>
        <w:spacing w:after="0"/>
        <w:tabs>
          <w:tab w:leader="none" w:pos="4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Rule 16b-3 of the Exchange Act.</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In affirmatively determining the independence of each Compensation</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Committee member, the Board considers all factors specifically relevant to</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determining whether such director has a relationship with us or any of our</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subsidiaries which is material to such director's ability to be independent</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from management in connection with the duties of a compensation</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committee member, including, but not limited to: (i) the source of</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compensation of such director, including any consulting, advisory or other</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compensatory fee paid by us to such director; and (ii) whether such director</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is affiliated with us, a subsidiary of ours or an affiliate of one of our</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subsidiaries. The Compensation Committee may form and delegate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authority to subcommittees when appropriate.</w:t>
      </w:r>
    </w:p>
    <w:p>
      <w:pPr>
        <w:spacing w:after="0" w:line="200" w:lineRule="exact"/>
        <w:rPr>
          <w:sz w:val="20"/>
          <w:szCs w:val="20"/>
          <w:color w:val="auto"/>
        </w:rPr>
      </w:pPr>
    </w:p>
    <w:p>
      <w:pPr>
        <w:spacing w:after="0" w:line="235" w:lineRule="exact"/>
        <w:rPr>
          <w:sz w:val="20"/>
          <w:szCs w:val="20"/>
          <w:color w:val="auto"/>
        </w:rPr>
      </w:pPr>
    </w:p>
    <w:p>
      <w:pPr>
        <w:ind w:left="4400"/>
        <w:spacing w:after="0"/>
        <w:rPr>
          <w:sz w:val="20"/>
          <w:szCs w:val="20"/>
          <w:color w:val="auto"/>
        </w:rPr>
      </w:pPr>
      <w:r>
        <w:rPr>
          <w:rFonts w:ascii="Arial" w:cs="Arial" w:eastAsia="Arial" w:hAnsi="Arial"/>
          <w:sz w:val="18"/>
          <w:szCs w:val="18"/>
          <w:b w:val="1"/>
          <w:bCs w:val="1"/>
          <w:i w:val="1"/>
          <w:iCs w:val="1"/>
          <w:color w:val="0048E0"/>
        </w:rPr>
        <w:t>Compensation Committee Interlocks and Insider Participation</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None of the members of the Compensation Committee was at any time</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during 2019 an officer or employee of our Company. None of our executive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officers serves as a member of the board of directors or compensation</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committee of any other entity that has one or more executive officers</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serving as a member of our Board or Compensation Committee.</w:t>
      </w:r>
    </w:p>
    <w:p>
      <w:pPr>
        <w:spacing w:after="0" w:line="200" w:lineRule="exact"/>
        <w:rPr>
          <w:sz w:val="20"/>
          <w:szCs w:val="20"/>
          <w:color w:val="auto"/>
        </w:rPr>
      </w:pPr>
    </w:p>
    <w:p>
      <w:pPr>
        <w:spacing w:after="0" w:line="24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E"/>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7620</wp:posOffset>
            </wp:positionV>
            <wp:extent cx="1825625" cy="5897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25625" cy="5897880"/>
                    </a:xfrm>
                    <a:prstGeom prst="rect">
                      <a:avLst/>
                    </a:prstGeom>
                    <a:noFill/>
                  </pic:spPr>
                </pic:pic>
              </a:graphicData>
            </a:graphic>
          </wp:anchor>
        </w:drawing>
      </w:r>
    </w:p>
    <w:p>
      <w:pPr>
        <w:spacing w:after="0" w:line="199" w:lineRule="exact"/>
        <w:rPr>
          <w:sz w:val="20"/>
          <w:szCs w:val="20"/>
          <w:color w:val="auto"/>
        </w:rPr>
      </w:pPr>
    </w:p>
    <w:p>
      <w:pPr>
        <w:ind w:left="1360"/>
        <w:spacing w:after="0"/>
        <w:rPr>
          <w:sz w:val="20"/>
          <w:szCs w:val="20"/>
          <w:color w:val="auto"/>
        </w:rPr>
      </w:pPr>
      <w:r>
        <w:rPr>
          <w:rFonts w:ascii="Arial" w:cs="Arial" w:eastAsia="Arial" w:hAnsi="Arial"/>
          <w:sz w:val="18"/>
          <w:szCs w:val="18"/>
          <w:b w:val="1"/>
          <w:bCs w:val="1"/>
          <w:i w:val="1"/>
          <w:iCs w:val="1"/>
          <w:color w:val="0048E0"/>
        </w:rPr>
        <w:t>Members:</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Stephen K. Roddenberry</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(Chair)</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Ken Bakshi</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Jorge L. Benitez</w:t>
      </w:r>
    </w:p>
    <w:p>
      <w:pPr>
        <w:spacing w:after="0" w:line="225" w:lineRule="exact"/>
        <w:rPr>
          <w:sz w:val="20"/>
          <w:szCs w:val="20"/>
          <w:color w:val="auto"/>
        </w:rPr>
      </w:pPr>
    </w:p>
    <w:p>
      <w:pPr>
        <w:jc w:val="center"/>
        <w:ind w:left="1360"/>
        <w:spacing w:after="0"/>
        <w:rPr>
          <w:sz w:val="20"/>
          <w:szCs w:val="20"/>
          <w:color w:val="auto"/>
        </w:rPr>
      </w:pPr>
      <w:r>
        <w:rPr>
          <w:rFonts w:ascii="Arial" w:cs="Arial" w:eastAsia="Arial" w:hAnsi="Arial"/>
          <w:sz w:val="18"/>
          <w:szCs w:val="18"/>
          <w:color w:val="auto"/>
        </w:rPr>
        <w:t>Sharda Cherwoo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Stephen J. Gold</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Richard A. Kassar</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John L. Manley</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b w:val="1"/>
          <w:bCs w:val="1"/>
          <w:i w:val="1"/>
          <w:iCs w:val="1"/>
          <w:color w:val="0048E0"/>
        </w:rPr>
        <w:t xml:space="preserve">Meetings in 2019: </w:t>
      </w:r>
      <w:r>
        <w:rPr>
          <w:rFonts w:ascii="Arial" w:cs="Arial" w:eastAsia="Arial" w:hAnsi="Arial"/>
          <w:sz w:val="18"/>
          <w:szCs w:val="18"/>
          <w:color w:val="000000"/>
        </w:rPr>
        <w:t>4</w:t>
      </w:r>
    </w:p>
    <w:p>
      <w:pPr>
        <w:spacing w:after="0" w:line="225" w:lineRule="exact"/>
        <w:rPr>
          <w:sz w:val="20"/>
          <w:szCs w:val="20"/>
          <w:color w:val="auto"/>
        </w:rPr>
      </w:pPr>
    </w:p>
    <w:p>
      <w:pPr>
        <w:ind w:left="1360"/>
        <w:spacing w:after="0" w:line="291" w:lineRule="auto"/>
        <w:rPr>
          <w:sz w:val="20"/>
          <w:szCs w:val="20"/>
          <w:color w:val="auto"/>
        </w:rPr>
      </w:pPr>
      <w:r>
        <w:rPr>
          <w:rFonts w:ascii="Arial" w:cs="Arial" w:eastAsia="Arial" w:hAnsi="Arial"/>
          <w:sz w:val="16"/>
          <w:szCs w:val="16"/>
          <w:color w:val="auto"/>
        </w:rPr>
        <w:t>The Governance Committee meets in executive session (without management present) in connection with each scheduled Board meeting and at other times as it deems necessary.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-1931035</wp:posOffset>
            </wp:positionH>
            <wp:positionV relativeFrom="paragraph">
              <wp:posOffset>-219710</wp:posOffset>
            </wp:positionV>
            <wp:extent cx="5349240" cy="939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49240" cy="939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Committee's responsibilities include:</w:t>
      </w:r>
    </w:p>
    <w:p>
      <w:pPr>
        <w:spacing w:after="0" w:line="225" w:lineRule="exact"/>
        <w:rPr>
          <w:sz w:val="20"/>
          <w:szCs w:val="20"/>
          <w:color w:val="auto"/>
        </w:rPr>
      </w:pPr>
    </w:p>
    <w:p>
      <w:pPr>
        <w:ind w:left="460" w:right="1680" w:hanging="287"/>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recommending to the Board criteria for Board membership and the size and composition of the Board;</w:t>
      </w:r>
    </w:p>
    <w:p>
      <w:pPr>
        <w:spacing w:after="0" w:line="185" w:lineRule="exact"/>
        <w:rPr>
          <w:rFonts w:ascii="Arial" w:cs="Arial" w:eastAsia="Arial" w:hAnsi="Arial"/>
          <w:sz w:val="18"/>
          <w:szCs w:val="18"/>
          <w:color w:val="auto"/>
        </w:rPr>
      </w:pPr>
    </w:p>
    <w:p>
      <w:pPr>
        <w:ind w:left="460" w:right="1620" w:hanging="287"/>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and reviewing individuals qualified to become members of the Board;</w:t>
      </w:r>
    </w:p>
    <w:p>
      <w:pPr>
        <w:spacing w:after="0" w:line="185" w:lineRule="exact"/>
        <w:rPr>
          <w:rFonts w:ascii="Arial" w:cs="Arial" w:eastAsia="Arial" w:hAnsi="Arial"/>
          <w:sz w:val="18"/>
          <w:szCs w:val="18"/>
          <w:color w:val="auto"/>
        </w:rPr>
      </w:pPr>
    </w:p>
    <w:p>
      <w:pPr>
        <w:ind w:left="460" w:right="1500" w:hanging="287"/>
        <w:spacing w:after="0" w:line="369"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reviewing the qualifications of persons nominated by the Governance Committee and by our shareholders pursuant to our By-Laws;</w:t>
      </w:r>
    </w:p>
    <w:p>
      <w:pPr>
        <w:spacing w:after="0" w:line="117" w:lineRule="exact"/>
        <w:rPr>
          <w:rFonts w:ascii="Arial" w:cs="Arial" w:eastAsia="Arial" w:hAnsi="Arial"/>
          <w:sz w:val="15"/>
          <w:szCs w:val="15"/>
          <w:color w:val="auto"/>
        </w:rPr>
      </w:pPr>
    </w:p>
    <w:p>
      <w:pPr>
        <w:ind w:left="460" w:right="1780" w:hanging="287"/>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recommending to the Board, the director nominees for the annual meeting of shareholders and to fill vacancies and newly created directorships;</w:t>
      </w:r>
    </w:p>
    <w:p>
      <w:pPr>
        <w:spacing w:after="0" w:line="193" w:lineRule="exact"/>
        <w:rPr>
          <w:rFonts w:ascii="Arial" w:cs="Arial" w:eastAsia="Arial" w:hAnsi="Arial"/>
          <w:sz w:val="18"/>
          <w:szCs w:val="18"/>
          <w:color w:val="auto"/>
        </w:rPr>
      </w:pPr>
    </w:p>
    <w:p>
      <w:pPr>
        <w:ind w:left="460" w:right="1820" w:hanging="287"/>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recommending to the Board the members to serve on each Board committee;</w:t>
      </w:r>
    </w:p>
    <w:p>
      <w:pPr>
        <w:spacing w:after="0" w:line="185" w:lineRule="exact"/>
        <w:rPr>
          <w:rFonts w:ascii="Arial" w:cs="Arial" w:eastAsia="Arial" w:hAnsi="Arial"/>
          <w:sz w:val="18"/>
          <w:szCs w:val="18"/>
          <w:color w:val="auto"/>
        </w:rPr>
      </w:pPr>
    </w:p>
    <w:p>
      <w:pPr>
        <w:jc w:val="both"/>
        <w:ind w:left="460" w:right="1580" w:hanging="287"/>
        <w:spacing w:after="0" w:line="30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recommending performance criteria for the Board and reviewing the procedures, effectiveness and performance of the Board as a whole, the individual directors and the Board's committees;</w:t>
      </w:r>
    </w:p>
    <w:p>
      <w:pPr>
        <w:spacing w:after="0" w:line="160" w:lineRule="exact"/>
        <w:rPr>
          <w:rFonts w:ascii="Arial" w:cs="Arial" w:eastAsia="Arial" w:hAnsi="Arial"/>
          <w:sz w:val="16"/>
          <w:szCs w:val="16"/>
          <w:color w:val="auto"/>
        </w:rPr>
      </w:pPr>
    </w:p>
    <w:p>
      <w:pPr>
        <w:ind w:left="460" w:right="1660" w:hanging="287"/>
        <w:spacing w:after="0" w:line="335"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recommending to the Board whether to accept or reject a director resignation, or take other action, where a director receives a greater number of "withheld" than "for" votes in an uncontested election;</w:t>
      </w:r>
    </w:p>
    <w:p>
      <w:pPr>
        <w:spacing w:after="0" w:line="141" w:lineRule="exact"/>
        <w:rPr>
          <w:rFonts w:ascii="Arial" w:cs="Arial" w:eastAsia="Arial" w:hAnsi="Arial"/>
          <w:sz w:val="15"/>
          <w:szCs w:val="15"/>
          <w:color w:val="auto"/>
        </w:rPr>
      </w:pPr>
    </w:p>
    <w:p>
      <w:pPr>
        <w:ind w:left="460" w:hanging="287"/>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recommending overall compensation for directors;</w:t>
      </w:r>
    </w:p>
    <w:p>
      <w:pPr>
        <w:spacing w:after="0" w:line="225" w:lineRule="exact"/>
        <w:rPr>
          <w:rFonts w:ascii="Arial" w:cs="Arial" w:eastAsia="Arial" w:hAnsi="Arial"/>
          <w:sz w:val="18"/>
          <w:szCs w:val="18"/>
          <w:color w:val="auto"/>
        </w:rPr>
      </w:pPr>
    </w:p>
    <w:p>
      <w:pPr>
        <w:ind w:left="460" w:right="2160" w:hanging="287"/>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annually reviewing our corporate governance principles and committee charters;</w:t>
      </w:r>
    </w:p>
    <w:p>
      <w:pPr>
        <w:spacing w:after="0" w:line="185" w:lineRule="exact"/>
        <w:rPr>
          <w:rFonts w:ascii="Arial" w:cs="Arial" w:eastAsia="Arial" w:hAnsi="Arial"/>
          <w:sz w:val="18"/>
          <w:szCs w:val="18"/>
          <w:color w:val="auto"/>
        </w:rPr>
      </w:pPr>
    </w:p>
    <w:p>
      <w:pPr>
        <w:ind w:left="460" w:right="1960" w:hanging="287"/>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leading the annual performance evaluation of the Board and its committees;</w:t>
      </w:r>
    </w:p>
    <w:p>
      <w:pPr>
        <w:spacing w:after="0" w:line="185" w:lineRule="exact"/>
        <w:rPr>
          <w:rFonts w:ascii="Arial" w:cs="Arial" w:eastAsia="Arial" w:hAnsi="Arial"/>
          <w:sz w:val="18"/>
          <w:szCs w:val="18"/>
          <w:color w:val="auto"/>
        </w:rPr>
      </w:pPr>
    </w:p>
    <w:p>
      <w:pPr>
        <w:ind w:left="460" w:hanging="287"/>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if appropriate, approving related person transactions;</w:t>
      </w:r>
    </w:p>
    <w:p>
      <w:pPr>
        <w:spacing w:after="0" w:line="15" w:lineRule="exact"/>
        <w:rPr>
          <w:rFonts w:ascii="Arial" w:cs="Arial" w:eastAsia="Arial" w:hAnsi="Arial"/>
          <w:sz w:val="18"/>
          <w:szCs w:val="18"/>
          <w:color w:val="auto"/>
        </w:rPr>
      </w:pPr>
    </w:p>
    <w:p>
      <w:pPr>
        <w:ind w:left="460" w:right="1520" w:hanging="287"/>
        <w:spacing w:after="0" w:line="25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annually evaluating the performance of the NEOs and discussing any changes to the executives' compensation recommended by the Compensation Committee; and</w:t>
      </w:r>
    </w:p>
    <w:p>
      <w:pPr>
        <w:spacing w:after="0" w:line="197" w:lineRule="exact"/>
        <w:rPr>
          <w:rFonts w:ascii="Arial" w:cs="Arial" w:eastAsia="Arial" w:hAnsi="Arial"/>
          <w:sz w:val="18"/>
          <w:szCs w:val="18"/>
          <w:color w:val="auto"/>
        </w:rPr>
      </w:pPr>
    </w:p>
    <w:p>
      <w:pPr>
        <w:ind w:left="460" w:right="1460" w:hanging="287"/>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together with the Compensation Committee, considering management development and succession.</w:t>
      </w: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147955</wp:posOffset>
            </wp:positionV>
            <wp:extent cx="713613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3980" w:space="420"/>
            <w:col w:w="6840"/>
          </w:cols>
          <w:pgMar w:left="32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i w:val="1"/>
          <w:iCs w:val="1"/>
          <w:color w:val="0048E0"/>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-125730</wp:posOffset>
            </wp:positionV>
            <wp:extent cx="1825625" cy="23317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25625" cy="2331720"/>
                    </a:xfrm>
                    <a:prstGeom prst="rect">
                      <a:avLst/>
                    </a:prstGeom>
                    <a:noFill/>
                  </pic:spPr>
                </pic:pic>
              </a:graphicData>
            </a:graphic>
          </wp:anchor>
        </w:drawing>
      </w:r>
    </w:p>
    <w:p>
      <w:pPr>
        <w:spacing w:after="0" w:line="20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The Board reviewed the background, experience and independence of the</w:t>
      </w:r>
    </w:p>
    <w:p>
      <w:pPr>
        <w:spacing w:after="0" w:line="38"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Governance Committee members and based on this review, the Board</w:t>
      </w:r>
    </w:p>
    <w:p>
      <w:pPr>
        <w:spacing w:after="0" w:line="32"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determined that each member of the Governance Committee meets the</w:t>
      </w:r>
    </w:p>
    <w:p>
      <w:pPr>
        <w:spacing w:after="0" w:line="3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independence requirements of the NYSE's listing standards.</w:t>
      </w: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b w:val="1"/>
          <w:bCs w:val="1"/>
          <w:i w:val="1"/>
          <w:iCs w:val="1"/>
          <w:color w:val="0048E0"/>
        </w:rPr>
        <w:t>Nominating Subcommittee</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The Nominating Subcommittee was formed by the Governance Committee</w:t>
      </w:r>
    </w:p>
    <w:p>
      <w:pPr>
        <w:spacing w:after="0" w:line="3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 assist the Governance Committee with identifying and recruiting</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qualified candidates for Board membership. The Nominating Subcommittee,</w:t>
      </w:r>
    </w:p>
    <w:p>
      <w:pPr>
        <w:spacing w:after="0" w:line="32"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which does not have a separate committee charter, consists of two of the</w:t>
      </w:r>
    </w:p>
    <w:p>
      <w:pPr>
        <w:spacing w:after="0" w:line="32"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members at large of the Governance Committee, currently Messrs. Benitez</w:t>
      </w:r>
    </w:p>
    <w:p>
      <w:pPr>
        <w:spacing w:after="0" w:line="3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and Bakshi, who serves as Chair.</w:t>
      </w:r>
    </w:p>
    <w:p>
      <w:pPr>
        <w:spacing w:after="0" w:line="200" w:lineRule="exact"/>
        <w:rPr>
          <w:sz w:val="20"/>
          <w:szCs w:val="20"/>
          <w:color w:val="auto"/>
        </w:rPr>
      </w:pPr>
    </w:p>
    <w:p>
      <w:pPr>
        <w:spacing w:after="0" w:line="230"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E"/>
        </w:rPr>
        <w:t>SUSTAINABILITY &amp; CORPORATE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-86360</wp:posOffset>
            </wp:positionV>
            <wp:extent cx="5349240" cy="36601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349240" cy="366014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17" w:lineRule="exact"/>
        <w:rPr>
          <w:sz w:val="20"/>
          <w:szCs w:val="20"/>
          <w:color w:val="auto"/>
        </w:rPr>
      </w:pPr>
    </w:p>
    <w:p>
      <w:pPr>
        <w:ind w:left="1360"/>
        <w:spacing w:after="0"/>
        <w:rPr>
          <w:sz w:val="20"/>
          <w:szCs w:val="20"/>
          <w:color w:val="auto"/>
        </w:rPr>
      </w:pPr>
      <w:r>
        <w:rPr>
          <w:rFonts w:ascii="Arial" w:cs="Arial" w:eastAsia="Arial" w:hAnsi="Arial"/>
          <w:sz w:val="18"/>
          <w:szCs w:val="18"/>
          <w:b w:val="1"/>
          <w:bCs w:val="1"/>
          <w:i w:val="1"/>
          <w:iCs w:val="1"/>
          <w:color w:val="0048E0"/>
        </w:rPr>
        <w:t>Members:</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Jorge L. Benitez (Chair)</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Ken Bakshi</w:t>
      </w:r>
    </w:p>
    <w:p>
      <w:pPr>
        <w:spacing w:after="0" w:line="22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Sharda Cherwoo</w:t>
      </w:r>
    </w:p>
    <w:p>
      <w:pPr>
        <w:spacing w:after="0" w:line="22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Paul H. Stebbins</w:t>
      </w:r>
    </w:p>
    <w:p>
      <w:pPr>
        <w:spacing w:after="0" w:line="225" w:lineRule="exact"/>
        <w:rPr>
          <w:sz w:val="20"/>
          <w:szCs w:val="20"/>
          <w:color w:val="auto"/>
        </w:rPr>
      </w:pPr>
    </w:p>
    <w:p>
      <w:pPr>
        <w:jc w:val="both"/>
        <w:ind w:left="1360"/>
        <w:spacing w:after="0" w:line="259" w:lineRule="auto"/>
        <w:rPr>
          <w:sz w:val="20"/>
          <w:szCs w:val="20"/>
          <w:color w:val="auto"/>
        </w:rPr>
      </w:pPr>
      <w:r>
        <w:rPr>
          <w:rFonts w:ascii="Arial" w:cs="Arial" w:eastAsia="Arial" w:hAnsi="Arial"/>
          <w:sz w:val="18"/>
          <w:szCs w:val="18"/>
          <w:b w:val="1"/>
          <w:bCs w:val="1"/>
          <w:i w:val="1"/>
          <w:iCs w:val="1"/>
          <w:color w:val="0048E0"/>
        </w:rPr>
        <w:t xml:space="preserve">Meetings in 2019: </w:t>
      </w:r>
      <w:r>
        <w:rPr>
          <w:rFonts w:ascii="Arial" w:cs="Arial" w:eastAsia="Arial" w:hAnsi="Arial"/>
          <w:sz w:val="18"/>
          <w:szCs w:val="18"/>
          <w:color w:val="000000"/>
        </w:rPr>
        <w:t>Not applicable, as</w:t>
      </w:r>
      <w:r>
        <w:rPr>
          <w:rFonts w:ascii="Arial" w:cs="Arial" w:eastAsia="Arial" w:hAnsi="Arial"/>
          <w:sz w:val="18"/>
          <w:szCs w:val="18"/>
          <w:b w:val="1"/>
          <w:bCs w:val="1"/>
          <w:i w:val="1"/>
          <w:iCs w:val="1"/>
          <w:color w:val="0048E0"/>
        </w:rPr>
        <w:t xml:space="preserve"> </w:t>
      </w:r>
      <w:r>
        <w:rPr>
          <w:rFonts w:ascii="Arial" w:cs="Arial" w:eastAsia="Arial" w:hAnsi="Arial"/>
          <w:sz w:val="18"/>
          <w:szCs w:val="18"/>
          <w:color w:val="000000"/>
        </w:rPr>
        <w:t>the committee was formed in March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0048E0"/>
        </w:rPr>
        <w:t>Responsibilities</w:t>
      </w:r>
    </w:p>
    <w:p>
      <w:pPr>
        <w:spacing w:after="0" w:line="211" w:lineRule="exact"/>
        <w:rPr>
          <w:sz w:val="20"/>
          <w:szCs w:val="20"/>
          <w:color w:val="auto"/>
        </w:rPr>
      </w:pPr>
    </w:p>
    <w:p>
      <w:pPr>
        <w:ind w:right="2020"/>
        <w:spacing w:after="0" w:line="268" w:lineRule="auto"/>
        <w:rPr>
          <w:sz w:val="20"/>
          <w:szCs w:val="20"/>
          <w:color w:val="auto"/>
        </w:rPr>
      </w:pPr>
      <w:r>
        <w:rPr>
          <w:rFonts w:ascii="Arial" w:cs="Arial" w:eastAsia="Arial" w:hAnsi="Arial"/>
          <w:sz w:val="18"/>
          <w:szCs w:val="18"/>
          <w:color w:val="auto"/>
        </w:rPr>
        <w:t>The responsibilities of the Sustainability &amp; Corporate Responsibility Committee include:</w:t>
      </w:r>
    </w:p>
    <w:p>
      <w:pPr>
        <w:spacing w:after="0" w:line="186" w:lineRule="exact"/>
        <w:rPr>
          <w:sz w:val="20"/>
          <w:szCs w:val="20"/>
          <w:color w:val="auto"/>
        </w:rPr>
      </w:pPr>
    </w:p>
    <w:p>
      <w:pPr>
        <w:ind w:left="460" w:right="1640" w:hanging="287"/>
        <w:spacing w:after="0" w:line="298"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and providing input on management's strategy, goals and integration of Sustainability Matters into strategic and tactical business activities across the Company to create long-term shareholder value and sustainable growth;</w:t>
      </w:r>
    </w:p>
    <w:p>
      <w:pPr>
        <w:spacing w:after="0" w:line="166" w:lineRule="exact"/>
        <w:rPr>
          <w:rFonts w:ascii="Arial" w:cs="Arial" w:eastAsia="Arial" w:hAnsi="Arial"/>
          <w:sz w:val="16"/>
          <w:szCs w:val="16"/>
          <w:color w:val="auto"/>
        </w:rPr>
      </w:pPr>
    </w:p>
    <w:p>
      <w:pPr>
        <w:ind w:left="460" w:right="1800" w:hanging="287"/>
        <w:spacing w:after="0" w:line="323"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overseeing internal and external communications and disclosures regarding our position on, reporting of, or approach to significant Sustainability Matters, including by reviewing, as appropriate, disclosures and other communications to stakeholders;</w:t>
      </w:r>
    </w:p>
    <w:p>
      <w:pPr>
        <w:spacing w:after="0" w:line="151" w:lineRule="exact"/>
        <w:rPr>
          <w:rFonts w:ascii="Arial" w:cs="Arial" w:eastAsia="Arial" w:hAnsi="Arial"/>
          <w:sz w:val="15"/>
          <w:szCs w:val="15"/>
          <w:color w:val="auto"/>
        </w:rPr>
      </w:pPr>
    </w:p>
    <w:p>
      <w:pPr>
        <w:ind w:left="460" w:right="1480" w:hanging="287"/>
        <w:spacing w:after="0" w:line="335"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overseeing and providing input to management on our identification, assessment and management of risks associated with Sustainability Matters such as climate change and its impact on us and our business;</w:t>
      </w:r>
    </w:p>
    <w:p>
      <w:pPr>
        <w:spacing w:after="0" w:line="141" w:lineRule="exact"/>
        <w:rPr>
          <w:rFonts w:ascii="Arial" w:cs="Arial" w:eastAsia="Arial" w:hAnsi="Arial"/>
          <w:sz w:val="15"/>
          <w:szCs w:val="15"/>
          <w:color w:val="auto"/>
        </w:rPr>
      </w:pPr>
    </w:p>
    <w:p>
      <w:pPr>
        <w:jc w:val="both"/>
        <w:ind w:left="460" w:right="1840" w:hanging="287"/>
        <w:spacing w:after="0" w:line="335"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considering, analyzing and providing input on significant public issues, trends, regulation and legislation regarding Sustainability Matters that are pertinent to us and our stakeholders;</w:t>
      </w:r>
    </w:p>
    <w:p>
      <w:pPr>
        <w:spacing w:after="0" w:line="141" w:lineRule="exact"/>
        <w:rPr>
          <w:rFonts w:ascii="Arial" w:cs="Arial" w:eastAsia="Arial" w:hAnsi="Arial"/>
          <w:sz w:val="15"/>
          <w:szCs w:val="15"/>
          <w:color w:val="auto"/>
        </w:rPr>
      </w:pPr>
    </w:p>
    <w:p>
      <w:pPr>
        <w:jc w:val="both"/>
        <w:ind w:left="460" w:right="1700" w:hanging="287"/>
        <w:spacing w:after="0" w:line="252"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the goals that we may publish from time to time for our performance with respect to Sustainability Matters and monitoring our progress against those goals;</w:t>
      </w:r>
    </w:p>
    <w:p>
      <w:pPr>
        <w:spacing w:after="0" w:line="2" w:lineRule="exact"/>
        <w:rPr>
          <w:sz w:val="20"/>
          <w:szCs w:val="20"/>
          <w:color w:val="auto"/>
        </w:rPr>
      </w:pPr>
    </w:p>
    <w:p>
      <w:pPr>
        <w:sectPr>
          <w:pgSz w:w="11900" w:h="16838" w:orient="portrait"/>
          <w:cols w:equalWidth="0" w:num="2">
            <w:col w:w="3960" w:space="440"/>
            <w:col w:w="6840"/>
          </w:cols>
          <w:pgMar w:left="320" w:top="131" w:right="339" w:bottom="1440" w:gutter="0" w:footer="0" w:header="0"/>
          <w:type w:val="continuous"/>
        </w:sectPr>
      </w:pPr>
    </w:p>
    <w:p>
      <w:pPr>
        <w:ind w:left="6360"/>
        <w:spacing w:after="0"/>
        <w:tabs>
          <w:tab w:leader="none" w:pos="9060" w:val="left"/>
          <w:tab w:leader="none" w:pos="9300" w:val="left"/>
          <w:tab w:leader="none" w:pos="110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860" w:right="1540" w:hanging="287"/>
        <w:spacing w:after="0" w:line="259" w:lineRule="auto"/>
        <w:tabs>
          <w:tab w:leader="none" w:pos="4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overseeing and providing input to management on the Company's policies, strategies and programs related to Sustainability Matters; and</w:t>
      </w:r>
    </w:p>
    <w:p>
      <w:pPr>
        <w:spacing w:after="0" w:line="193" w:lineRule="exact"/>
        <w:rPr>
          <w:rFonts w:ascii="Arial" w:cs="Arial" w:eastAsia="Arial" w:hAnsi="Arial"/>
          <w:sz w:val="18"/>
          <w:szCs w:val="18"/>
          <w:color w:val="auto"/>
        </w:rPr>
      </w:pPr>
    </w:p>
    <w:p>
      <w:pPr>
        <w:ind w:left="4860" w:right="1540" w:hanging="287"/>
        <w:spacing w:after="0" w:line="298" w:lineRule="auto"/>
        <w:tabs>
          <w:tab w:leader="none" w:pos="4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reviewing our charitable giving policies and programs and receiving reports from management on charitable contributions made by us, directly and through any foundations, that are in support of our goals regarding Sustainability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-1122680</wp:posOffset>
            </wp:positionV>
            <wp:extent cx="1825625" cy="23317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25625" cy="2331720"/>
                    </a:xfrm>
                    <a:prstGeom prst="rect">
                      <a:avLst/>
                    </a:prstGeom>
                    <a:noFill/>
                  </pic:spPr>
                </pic:pic>
              </a:graphicData>
            </a:graphic>
          </wp:anchor>
        </w:drawing>
      </w:r>
    </w:p>
    <w:p>
      <w:pPr>
        <w:spacing w:after="0" w:line="146" w:lineRule="exact"/>
        <w:rPr>
          <w:sz w:val="20"/>
          <w:szCs w:val="20"/>
          <w:color w:val="auto"/>
        </w:rPr>
      </w:pPr>
    </w:p>
    <w:p>
      <w:pPr>
        <w:ind w:left="4400"/>
        <w:spacing w:after="0"/>
        <w:rPr>
          <w:sz w:val="20"/>
          <w:szCs w:val="20"/>
          <w:color w:val="auto"/>
        </w:rPr>
      </w:pPr>
      <w:r>
        <w:rPr>
          <w:rFonts w:ascii="Arial" w:cs="Arial" w:eastAsia="Arial" w:hAnsi="Arial"/>
          <w:sz w:val="18"/>
          <w:szCs w:val="18"/>
          <w:b w:val="1"/>
          <w:bCs w:val="1"/>
          <w:i w:val="1"/>
          <w:iCs w:val="1"/>
          <w:color w:val="0048E0"/>
        </w:rPr>
        <w:t>Independence</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Board reviewed the background, experience and independence of the</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Sustainability &amp; Corporate Responsibility Committee members and based</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on this review, the Board determined that each member of the committee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meets the independence requirements specified in its charter.</w:t>
      </w:r>
    </w:p>
    <w:p>
      <w:pPr>
        <w:spacing w:after="0" w:line="200" w:lineRule="exact"/>
        <w:rPr>
          <w:sz w:val="20"/>
          <w:szCs w:val="20"/>
          <w:color w:val="auto"/>
        </w:rPr>
      </w:pPr>
    </w:p>
    <w:p>
      <w:pPr>
        <w:spacing w:after="0" w:line="230"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E"/>
        </w:rPr>
        <w:t>TECHNOLOGY &amp; OPERATIONS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-86360</wp:posOffset>
            </wp:positionV>
            <wp:extent cx="5349240" cy="4072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49240" cy="4072255"/>
                    </a:xfrm>
                    <a:prstGeom prst="rect">
                      <a:avLst/>
                    </a:prstGeom>
                    <a:noFill/>
                  </pic:spPr>
                </pic:pic>
              </a:graphicData>
            </a:graphic>
          </wp:anchor>
        </w:drawing>
      </w:r>
    </w:p>
    <w:p>
      <w:pPr>
        <w:ind w:left="1360"/>
        <w:spacing w:after="0"/>
        <w:tabs>
          <w:tab w:leader="none" w:pos="4380" w:val="left"/>
        </w:tabs>
        <w:rPr>
          <w:sz w:val="20"/>
          <w:szCs w:val="20"/>
          <w:color w:val="auto"/>
        </w:rPr>
      </w:pPr>
      <w:r>
        <w:rPr>
          <w:rFonts w:ascii="Arial" w:cs="Arial" w:eastAsia="Arial" w:hAnsi="Arial"/>
          <w:sz w:val="18"/>
          <w:szCs w:val="18"/>
          <w:b w:val="1"/>
          <w:bCs w:val="1"/>
          <w:i w:val="1"/>
          <w:iCs w:val="1"/>
          <w:color w:val="0048E0"/>
        </w:rPr>
        <w:t>Members:</w:t>
      </w:r>
      <w:r>
        <w:rPr>
          <w:sz w:val="20"/>
          <w:szCs w:val="20"/>
          <w:color w:val="auto"/>
        </w:rPr>
        <w:tab/>
      </w:r>
      <w:r>
        <w:rPr>
          <w:rFonts w:ascii="Arial" w:cs="Arial" w:eastAsia="Arial" w:hAnsi="Arial"/>
          <w:sz w:val="18"/>
          <w:szCs w:val="18"/>
          <w:b w:val="1"/>
          <w:bCs w:val="1"/>
          <w:i w:val="1"/>
          <w:iCs w:val="1"/>
          <w:color w:val="0048E0"/>
        </w:rPr>
        <w:t>Responsibilities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ind w:left="1540"/>
              <w:spacing w:after="0"/>
              <w:rPr>
                <w:sz w:val="20"/>
                <w:szCs w:val="20"/>
                <w:color w:val="auto"/>
              </w:rPr>
            </w:pPr>
            <w:r>
              <w:rPr>
                <w:rFonts w:ascii="Arial" w:cs="Arial" w:eastAsia="Arial" w:hAnsi="Arial"/>
                <w:sz w:val="18"/>
                <w:szCs w:val="18"/>
                <w:color w:val="auto"/>
              </w:rPr>
              <w:t>Jorge L. Benitez (Chair)</w:t>
            </w:r>
          </w:p>
        </w:tc>
        <w:tc>
          <w:tcPr>
            <w:tcW w:w="7420" w:type="dxa"/>
            <w:vAlign w:val="bottom"/>
          </w:tcPr>
          <w:p>
            <w:pPr>
              <w:ind w:left="580"/>
              <w:spacing w:after="0"/>
              <w:rPr>
                <w:sz w:val="20"/>
                <w:szCs w:val="20"/>
                <w:color w:val="auto"/>
              </w:rPr>
            </w:pPr>
            <w:r>
              <w:rPr>
                <w:rFonts w:ascii="Arial" w:cs="Arial" w:eastAsia="Arial" w:hAnsi="Arial"/>
                <w:sz w:val="18"/>
                <w:szCs w:val="18"/>
                <w:color w:val="auto"/>
              </w:rPr>
              <w:t>The Technology &amp; Operations Committee's responsibilities include:</w:t>
            </w:r>
          </w:p>
        </w:tc>
      </w:tr>
      <w:tr>
        <w:trPr>
          <w:trHeight w:val="426"/>
        </w:trPr>
        <w:tc>
          <w:tcPr>
            <w:tcW w:w="3820" w:type="dxa"/>
            <w:vAlign w:val="bottom"/>
          </w:tcPr>
          <w:p>
            <w:pPr>
              <w:ind w:left="1540"/>
              <w:spacing w:after="0"/>
              <w:rPr>
                <w:sz w:val="20"/>
                <w:szCs w:val="20"/>
                <w:color w:val="auto"/>
              </w:rPr>
            </w:pPr>
            <w:r>
              <w:rPr>
                <w:rFonts w:ascii="Arial" w:cs="Arial" w:eastAsia="Arial" w:hAnsi="Arial"/>
                <w:sz w:val="18"/>
                <w:szCs w:val="18"/>
                <w:color w:val="auto"/>
              </w:rPr>
              <w:t>Ken Bakshi</w:t>
            </w:r>
          </w:p>
        </w:tc>
        <w:tc>
          <w:tcPr>
            <w:tcW w:w="7420" w:type="dxa"/>
            <w:vAlign w:val="bottom"/>
          </w:tcPr>
          <w:p>
            <w:pPr>
              <w:ind w:left="760"/>
              <w:spacing w:after="0"/>
              <w:rPr>
                <w:sz w:val="20"/>
                <w:szCs w:val="20"/>
                <w:color w:val="auto"/>
              </w:rPr>
            </w:pPr>
            <w:r>
              <w:rPr>
                <w:rFonts w:ascii="Arial" w:cs="Arial" w:eastAsia="Arial" w:hAnsi="Arial"/>
                <w:sz w:val="18"/>
                <w:szCs w:val="18"/>
                <w:color w:val="auto"/>
              </w:rPr>
              <w:t>•   reviewing and discussing with management the financial, tactical and</w:t>
            </w:r>
          </w:p>
        </w:tc>
      </w:tr>
      <w:tr>
        <w:trPr>
          <w:trHeight w:val="216"/>
        </w:trPr>
        <w:tc>
          <w:tcPr>
            <w:tcW w:w="3820" w:type="dxa"/>
            <w:vAlign w:val="bottom"/>
          </w:tcPr>
          <w:p>
            <w:pPr>
              <w:spacing w:after="0"/>
              <w:rPr>
                <w:sz w:val="18"/>
                <w:szCs w:val="18"/>
                <w:color w:val="auto"/>
              </w:rPr>
            </w:pPr>
          </w:p>
        </w:tc>
        <w:tc>
          <w:tcPr>
            <w:tcW w:w="7420" w:type="dxa"/>
            <w:vAlign w:val="bottom"/>
          </w:tcPr>
          <w:p>
            <w:pPr>
              <w:ind w:left="1040"/>
              <w:spacing w:after="0"/>
              <w:rPr>
                <w:sz w:val="20"/>
                <w:szCs w:val="20"/>
                <w:color w:val="auto"/>
              </w:rPr>
            </w:pPr>
            <w:r>
              <w:rPr>
                <w:rFonts w:ascii="Arial" w:cs="Arial" w:eastAsia="Arial" w:hAnsi="Arial"/>
                <w:sz w:val="18"/>
                <w:szCs w:val="18"/>
                <w:color w:val="auto"/>
              </w:rPr>
              <w:t>strategic benefits of significant technology and operations projects</w:t>
            </w:r>
          </w:p>
        </w:tc>
      </w:tr>
      <w:tr>
        <w:trPr>
          <w:trHeight w:val="222"/>
        </w:trPr>
        <w:tc>
          <w:tcPr>
            <w:tcW w:w="3820" w:type="dxa"/>
            <w:vAlign w:val="bottom"/>
          </w:tcPr>
          <w:p>
            <w:pPr>
              <w:ind w:left="1540"/>
              <w:spacing w:after="0"/>
              <w:rPr>
                <w:sz w:val="20"/>
                <w:szCs w:val="20"/>
                <w:color w:val="auto"/>
              </w:rPr>
            </w:pPr>
            <w:r>
              <w:rPr>
                <w:rFonts w:ascii="Arial" w:cs="Arial" w:eastAsia="Arial" w:hAnsi="Arial"/>
                <w:sz w:val="18"/>
                <w:szCs w:val="18"/>
                <w:color w:val="auto"/>
              </w:rPr>
              <w:t>Sharda Cherwoo</w:t>
            </w:r>
          </w:p>
        </w:tc>
        <w:tc>
          <w:tcPr>
            <w:tcW w:w="7420" w:type="dxa"/>
            <w:vAlign w:val="bottom"/>
          </w:tcPr>
          <w:p>
            <w:pPr>
              <w:ind w:left="1040"/>
              <w:spacing w:after="0"/>
              <w:rPr>
                <w:sz w:val="20"/>
                <w:szCs w:val="20"/>
                <w:color w:val="auto"/>
              </w:rPr>
            </w:pPr>
            <w:r>
              <w:rPr>
                <w:rFonts w:ascii="Arial" w:cs="Arial" w:eastAsia="Arial" w:hAnsi="Arial"/>
                <w:sz w:val="18"/>
                <w:szCs w:val="18"/>
                <w:color w:val="auto"/>
              </w:rPr>
              <w:t>and initiatives and our progress on such projects and initiatives;</w:t>
            </w:r>
          </w:p>
        </w:tc>
      </w:tr>
      <w:tr>
        <w:trPr>
          <w:trHeight w:val="426"/>
        </w:trPr>
        <w:tc>
          <w:tcPr>
            <w:tcW w:w="3820" w:type="dxa"/>
            <w:vAlign w:val="bottom"/>
          </w:tcPr>
          <w:p>
            <w:pPr>
              <w:ind w:left="1540"/>
              <w:spacing w:after="0"/>
              <w:rPr>
                <w:sz w:val="20"/>
                <w:szCs w:val="20"/>
                <w:color w:val="auto"/>
              </w:rPr>
            </w:pPr>
            <w:r>
              <w:rPr>
                <w:rFonts w:ascii="Arial" w:cs="Arial" w:eastAsia="Arial" w:hAnsi="Arial"/>
                <w:sz w:val="18"/>
                <w:szCs w:val="18"/>
                <w:color w:val="auto"/>
              </w:rPr>
              <w:t>Stephen J. Gold</w:t>
            </w:r>
          </w:p>
        </w:tc>
        <w:tc>
          <w:tcPr>
            <w:tcW w:w="7420" w:type="dxa"/>
            <w:vAlign w:val="bottom"/>
          </w:tcPr>
          <w:p>
            <w:pPr>
              <w:ind w:left="760"/>
              <w:spacing w:after="0"/>
              <w:rPr>
                <w:sz w:val="20"/>
                <w:szCs w:val="20"/>
                <w:color w:val="auto"/>
              </w:rPr>
            </w:pPr>
            <w:r>
              <w:rPr>
                <w:rFonts w:ascii="Arial" w:cs="Arial" w:eastAsia="Arial" w:hAnsi="Arial"/>
                <w:sz w:val="18"/>
                <w:szCs w:val="18"/>
                <w:color w:val="auto"/>
              </w:rPr>
              <w:t>•   reviewing and, as appropriate, making recommendations to the Board</w:t>
            </w:r>
          </w:p>
        </w:tc>
      </w:tr>
      <w:tr>
        <w:trPr>
          <w:trHeight w:val="216"/>
        </w:trPr>
        <w:tc>
          <w:tcPr>
            <w:tcW w:w="3820" w:type="dxa"/>
            <w:vAlign w:val="bottom"/>
          </w:tcPr>
          <w:p>
            <w:pPr>
              <w:spacing w:after="0"/>
              <w:rPr>
                <w:sz w:val="18"/>
                <w:szCs w:val="18"/>
                <w:color w:val="auto"/>
              </w:rPr>
            </w:pPr>
          </w:p>
        </w:tc>
        <w:tc>
          <w:tcPr>
            <w:tcW w:w="7420" w:type="dxa"/>
            <w:vAlign w:val="bottom"/>
          </w:tcPr>
          <w:p>
            <w:pPr>
              <w:ind w:left="1040"/>
              <w:spacing w:after="0"/>
              <w:rPr>
                <w:sz w:val="20"/>
                <w:szCs w:val="20"/>
                <w:color w:val="auto"/>
              </w:rPr>
            </w:pPr>
            <w:r>
              <w:rPr>
                <w:rFonts w:ascii="Arial" w:cs="Arial" w:eastAsia="Arial" w:hAnsi="Arial"/>
                <w:sz w:val="18"/>
                <w:szCs w:val="18"/>
                <w:color w:val="auto"/>
              </w:rPr>
              <w:t>regarding significant technology investments in support of our</w:t>
            </w:r>
          </w:p>
        </w:tc>
      </w:tr>
      <w:tr>
        <w:trPr>
          <w:trHeight w:val="222"/>
        </w:trPr>
        <w:tc>
          <w:tcPr>
            <w:tcW w:w="3820" w:type="dxa"/>
            <w:vAlign w:val="bottom"/>
          </w:tcPr>
          <w:p>
            <w:pPr>
              <w:ind w:left="1540"/>
              <w:spacing w:after="0"/>
              <w:rPr>
                <w:sz w:val="20"/>
                <w:szCs w:val="20"/>
                <w:color w:val="auto"/>
              </w:rPr>
            </w:pPr>
            <w:r>
              <w:rPr>
                <w:rFonts w:ascii="Arial" w:cs="Arial" w:eastAsia="Arial" w:hAnsi="Arial"/>
                <w:sz w:val="18"/>
                <w:szCs w:val="18"/>
                <w:color w:val="auto"/>
              </w:rPr>
              <w:t>Richard A. Kassar</w:t>
            </w:r>
          </w:p>
        </w:tc>
        <w:tc>
          <w:tcPr>
            <w:tcW w:w="7420" w:type="dxa"/>
            <w:vAlign w:val="bottom"/>
          </w:tcPr>
          <w:p>
            <w:pPr>
              <w:ind w:left="1040"/>
              <w:spacing w:after="0"/>
              <w:rPr>
                <w:sz w:val="20"/>
                <w:szCs w:val="20"/>
                <w:color w:val="auto"/>
              </w:rPr>
            </w:pPr>
            <w:r>
              <w:rPr>
                <w:rFonts w:ascii="Arial" w:cs="Arial" w:eastAsia="Arial" w:hAnsi="Arial"/>
                <w:sz w:val="18"/>
                <w:szCs w:val="18"/>
                <w:color w:val="auto"/>
              </w:rPr>
              <w:t>technology strategy;</w:t>
            </w:r>
          </w:p>
        </w:tc>
      </w:tr>
      <w:tr>
        <w:trPr>
          <w:trHeight w:val="426"/>
        </w:trPr>
        <w:tc>
          <w:tcPr>
            <w:tcW w:w="3820" w:type="dxa"/>
            <w:vAlign w:val="bottom"/>
          </w:tcPr>
          <w:p>
            <w:pPr>
              <w:ind w:left="1540"/>
              <w:spacing w:after="0"/>
              <w:rPr>
                <w:sz w:val="20"/>
                <w:szCs w:val="20"/>
                <w:color w:val="auto"/>
              </w:rPr>
            </w:pPr>
            <w:r>
              <w:rPr>
                <w:rFonts w:ascii="Arial" w:cs="Arial" w:eastAsia="Arial" w:hAnsi="Arial"/>
                <w:sz w:val="18"/>
                <w:szCs w:val="18"/>
                <w:color w:val="auto"/>
              </w:rPr>
              <w:t>John L. Manley</w:t>
            </w:r>
          </w:p>
        </w:tc>
        <w:tc>
          <w:tcPr>
            <w:tcW w:w="7420" w:type="dxa"/>
            <w:vAlign w:val="bottom"/>
          </w:tcPr>
          <w:p>
            <w:pPr>
              <w:ind w:left="760"/>
              <w:spacing w:after="0"/>
              <w:rPr>
                <w:sz w:val="20"/>
                <w:szCs w:val="20"/>
                <w:color w:val="auto"/>
              </w:rPr>
            </w:pPr>
            <w:r>
              <w:rPr>
                <w:rFonts w:ascii="Arial" w:cs="Arial" w:eastAsia="Arial" w:hAnsi="Arial"/>
                <w:sz w:val="18"/>
                <w:szCs w:val="18"/>
                <w:color w:val="auto"/>
              </w:rPr>
              <w:t>•   reviewing and discussing with management risks related to</w:t>
            </w:r>
          </w:p>
        </w:tc>
      </w:tr>
      <w:tr>
        <w:trPr>
          <w:trHeight w:val="216"/>
        </w:trPr>
        <w:tc>
          <w:tcPr>
            <w:tcW w:w="3820" w:type="dxa"/>
            <w:vAlign w:val="bottom"/>
          </w:tcPr>
          <w:p>
            <w:pPr>
              <w:spacing w:after="0"/>
              <w:rPr>
                <w:sz w:val="18"/>
                <w:szCs w:val="18"/>
                <w:color w:val="auto"/>
              </w:rPr>
            </w:pPr>
          </w:p>
        </w:tc>
        <w:tc>
          <w:tcPr>
            <w:tcW w:w="7420" w:type="dxa"/>
            <w:vAlign w:val="bottom"/>
          </w:tcPr>
          <w:p>
            <w:pPr>
              <w:ind w:left="1040"/>
              <w:spacing w:after="0"/>
              <w:rPr>
                <w:sz w:val="20"/>
                <w:szCs w:val="20"/>
                <w:color w:val="auto"/>
              </w:rPr>
            </w:pPr>
            <w:r>
              <w:rPr>
                <w:rFonts w:ascii="Arial" w:cs="Arial" w:eastAsia="Arial" w:hAnsi="Arial"/>
                <w:sz w:val="18"/>
                <w:szCs w:val="18"/>
                <w:color w:val="auto"/>
              </w:rPr>
              <w:t>technology and operations initiatives, including regulatory,</w:t>
            </w:r>
          </w:p>
        </w:tc>
      </w:tr>
      <w:tr>
        <w:trPr>
          <w:trHeight w:val="222"/>
        </w:trPr>
        <w:tc>
          <w:tcPr>
            <w:tcW w:w="3820" w:type="dxa"/>
            <w:vAlign w:val="bottom"/>
          </w:tcPr>
          <w:p>
            <w:pPr>
              <w:ind w:left="1360"/>
              <w:spacing w:after="0"/>
              <w:rPr>
                <w:sz w:val="20"/>
                <w:szCs w:val="20"/>
                <w:color w:val="auto"/>
              </w:rPr>
            </w:pPr>
            <w:r>
              <w:rPr>
                <w:rFonts w:ascii="Arial" w:cs="Arial" w:eastAsia="Arial" w:hAnsi="Arial"/>
                <w:sz w:val="18"/>
                <w:szCs w:val="18"/>
                <w:b w:val="1"/>
                <w:bCs w:val="1"/>
                <w:i w:val="1"/>
                <w:iCs w:val="1"/>
                <w:color w:val="0048E0"/>
              </w:rPr>
              <w:t xml:space="preserve">Meetings in 2019: </w:t>
            </w:r>
            <w:r>
              <w:rPr>
                <w:rFonts w:ascii="Arial" w:cs="Arial" w:eastAsia="Arial" w:hAnsi="Arial"/>
                <w:sz w:val="18"/>
                <w:szCs w:val="18"/>
                <w:color w:val="000000"/>
              </w:rPr>
              <w:t>5</w:t>
            </w:r>
          </w:p>
        </w:tc>
        <w:tc>
          <w:tcPr>
            <w:tcW w:w="7420" w:type="dxa"/>
            <w:vAlign w:val="bottom"/>
          </w:tcPr>
          <w:p>
            <w:pPr>
              <w:ind w:left="1040"/>
              <w:spacing w:after="0"/>
              <w:rPr>
                <w:sz w:val="20"/>
                <w:szCs w:val="20"/>
                <w:color w:val="auto"/>
              </w:rPr>
            </w:pPr>
            <w:r>
              <w:rPr>
                <w:rFonts w:ascii="Arial" w:cs="Arial" w:eastAsia="Arial" w:hAnsi="Arial"/>
                <w:sz w:val="18"/>
                <w:szCs w:val="18"/>
                <w:color w:val="auto"/>
              </w:rPr>
              <w:t>environmental and other significant technology-related risks; and</w:t>
            </w:r>
          </w:p>
        </w:tc>
      </w:tr>
      <w:tr>
        <w:trPr>
          <w:trHeight w:val="426"/>
        </w:trPr>
        <w:tc>
          <w:tcPr>
            <w:tcW w:w="3820" w:type="dxa"/>
            <w:vAlign w:val="bottom"/>
          </w:tcPr>
          <w:p>
            <w:pPr>
              <w:spacing w:after="0"/>
              <w:rPr>
                <w:sz w:val="24"/>
                <w:szCs w:val="24"/>
                <w:color w:val="auto"/>
              </w:rPr>
            </w:pPr>
          </w:p>
        </w:tc>
        <w:tc>
          <w:tcPr>
            <w:tcW w:w="7420" w:type="dxa"/>
            <w:vAlign w:val="bottom"/>
          </w:tcPr>
          <w:p>
            <w:pPr>
              <w:ind w:left="760"/>
              <w:spacing w:after="0"/>
              <w:rPr>
                <w:sz w:val="20"/>
                <w:szCs w:val="20"/>
                <w:color w:val="auto"/>
              </w:rPr>
            </w:pPr>
            <w:r>
              <w:rPr>
                <w:rFonts w:ascii="Arial" w:cs="Arial" w:eastAsia="Arial" w:hAnsi="Arial"/>
                <w:sz w:val="18"/>
                <w:szCs w:val="18"/>
                <w:color w:val="auto"/>
              </w:rPr>
              <w:t>•   consulting with the Audit Committee regarding technology and</w:t>
            </w:r>
          </w:p>
        </w:tc>
      </w:tr>
      <w:tr>
        <w:trPr>
          <w:trHeight w:val="216"/>
        </w:trPr>
        <w:tc>
          <w:tcPr>
            <w:tcW w:w="3820" w:type="dxa"/>
            <w:vAlign w:val="bottom"/>
          </w:tcPr>
          <w:p>
            <w:pPr>
              <w:spacing w:after="0"/>
              <w:rPr>
                <w:sz w:val="18"/>
                <w:szCs w:val="18"/>
                <w:color w:val="auto"/>
              </w:rPr>
            </w:pPr>
          </w:p>
        </w:tc>
        <w:tc>
          <w:tcPr>
            <w:tcW w:w="7420" w:type="dxa"/>
            <w:vAlign w:val="bottom"/>
          </w:tcPr>
          <w:p>
            <w:pPr>
              <w:ind w:left="1040"/>
              <w:spacing w:after="0"/>
              <w:rPr>
                <w:sz w:val="20"/>
                <w:szCs w:val="20"/>
                <w:color w:val="auto"/>
              </w:rPr>
            </w:pPr>
            <w:r>
              <w:rPr>
                <w:rFonts w:ascii="Arial" w:cs="Arial" w:eastAsia="Arial" w:hAnsi="Arial"/>
                <w:sz w:val="18"/>
                <w:szCs w:val="18"/>
                <w:color w:val="auto"/>
              </w:rPr>
              <w:t>operations systems and processes that relate to or affect our internal</w:t>
            </w:r>
          </w:p>
        </w:tc>
      </w:tr>
      <w:tr>
        <w:trPr>
          <w:trHeight w:val="216"/>
        </w:trPr>
        <w:tc>
          <w:tcPr>
            <w:tcW w:w="3820" w:type="dxa"/>
            <w:vAlign w:val="bottom"/>
          </w:tcPr>
          <w:p>
            <w:pPr>
              <w:spacing w:after="0"/>
              <w:rPr>
                <w:sz w:val="18"/>
                <w:szCs w:val="18"/>
                <w:color w:val="auto"/>
              </w:rPr>
            </w:pPr>
          </w:p>
        </w:tc>
        <w:tc>
          <w:tcPr>
            <w:tcW w:w="7420" w:type="dxa"/>
            <w:vAlign w:val="bottom"/>
          </w:tcPr>
          <w:p>
            <w:pPr>
              <w:ind w:left="1040"/>
              <w:spacing w:after="0"/>
              <w:rPr>
                <w:sz w:val="20"/>
                <w:szCs w:val="20"/>
                <w:color w:val="auto"/>
              </w:rPr>
            </w:pPr>
            <w:r>
              <w:rPr>
                <w:rFonts w:ascii="Arial" w:cs="Arial" w:eastAsia="Arial" w:hAnsi="Arial"/>
                <w:sz w:val="18"/>
                <w:szCs w:val="18"/>
                <w:color w:val="auto"/>
              </w:rPr>
              <w:t>control systems, information security, fraud and cybersecurity risks,</w:t>
            </w:r>
          </w:p>
        </w:tc>
      </w:tr>
      <w:tr>
        <w:trPr>
          <w:trHeight w:val="216"/>
        </w:trPr>
        <w:tc>
          <w:tcPr>
            <w:tcW w:w="3820" w:type="dxa"/>
            <w:vAlign w:val="bottom"/>
          </w:tcPr>
          <w:p>
            <w:pPr>
              <w:spacing w:after="0"/>
              <w:rPr>
                <w:sz w:val="18"/>
                <w:szCs w:val="18"/>
                <w:color w:val="auto"/>
              </w:rPr>
            </w:pPr>
          </w:p>
        </w:tc>
        <w:tc>
          <w:tcPr>
            <w:tcW w:w="7420" w:type="dxa"/>
            <w:vAlign w:val="bottom"/>
          </w:tcPr>
          <w:p>
            <w:pPr>
              <w:ind w:left="1040"/>
              <w:spacing w:after="0"/>
              <w:rPr>
                <w:sz w:val="20"/>
                <w:szCs w:val="20"/>
                <w:color w:val="auto"/>
              </w:rPr>
            </w:pPr>
            <w:r>
              <w:rPr>
                <w:rFonts w:ascii="Arial" w:cs="Arial" w:eastAsia="Arial" w:hAnsi="Arial"/>
                <w:sz w:val="18"/>
                <w:szCs w:val="18"/>
                <w:color w:val="auto"/>
              </w:rPr>
              <w:t>including assisting in the review of cybersecurity risks against our</w:t>
            </w:r>
          </w:p>
        </w:tc>
      </w:tr>
      <w:tr>
        <w:trPr>
          <w:trHeight w:val="216"/>
        </w:trPr>
        <w:tc>
          <w:tcPr>
            <w:tcW w:w="3820" w:type="dxa"/>
            <w:vAlign w:val="bottom"/>
          </w:tcPr>
          <w:p>
            <w:pPr>
              <w:spacing w:after="0"/>
              <w:rPr>
                <w:sz w:val="18"/>
                <w:szCs w:val="18"/>
                <w:color w:val="auto"/>
              </w:rPr>
            </w:pPr>
          </w:p>
        </w:tc>
        <w:tc>
          <w:tcPr>
            <w:tcW w:w="7420" w:type="dxa"/>
            <w:vAlign w:val="bottom"/>
          </w:tcPr>
          <w:p>
            <w:pPr>
              <w:ind w:left="1040"/>
              <w:spacing w:after="0"/>
              <w:rPr>
                <w:sz w:val="20"/>
                <w:szCs w:val="20"/>
                <w:color w:val="auto"/>
              </w:rPr>
            </w:pPr>
            <w:r>
              <w:rPr>
                <w:rFonts w:ascii="Arial" w:cs="Arial" w:eastAsia="Arial" w:hAnsi="Arial"/>
                <w:sz w:val="18"/>
                <w:szCs w:val="18"/>
                <w:color w:val="auto"/>
              </w:rPr>
              <w:t>risk management methodologies and the steps taken to monitor and</w:t>
            </w:r>
          </w:p>
        </w:tc>
      </w:tr>
      <w:tr>
        <w:trPr>
          <w:trHeight w:val="222"/>
        </w:trPr>
        <w:tc>
          <w:tcPr>
            <w:tcW w:w="3820" w:type="dxa"/>
            <w:vAlign w:val="bottom"/>
          </w:tcPr>
          <w:p>
            <w:pPr>
              <w:spacing w:after="0"/>
              <w:rPr>
                <w:sz w:val="19"/>
                <w:szCs w:val="19"/>
                <w:color w:val="auto"/>
              </w:rPr>
            </w:pPr>
          </w:p>
        </w:tc>
        <w:tc>
          <w:tcPr>
            <w:tcW w:w="7420" w:type="dxa"/>
            <w:vAlign w:val="bottom"/>
          </w:tcPr>
          <w:p>
            <w:pPr>
              <w:ind w:left="1040"/>
              <w:spacing w:after="0"/>
              <w:rPr>
                <w:sz w:val="20"/>
                <w:szCs w:val="20"/>
                <w:color w:val="auto"/>
              </w:rPr>
            </w:pPr>
            <w:r>
              <w:rPr>
                <w:rFonts w:ascii="Arial" w:cs="Arial" w:eastAsia="Arial" w:hAnsi="Arial"/>
                <w:sz w:val="18"/>
                <w:szCs w:val="18"/>
                <w:color w:val="auto"/>
              </w:rPr>
              <w:t>control such exposures.</w:t>
            </w:r>
          </w:p>
        </w:tc>
      </w:tr>
      <w:tr>
        <w:trPr>
          <w:trHeight w:val="432"/>
        </w:trPr>
        <w:tc>
          <w:tcPr>
            <w:tcW w:w="3820" w:type="dxa"/>
            <w:vAlign w:val="bottom"/>
          </w:tcPr>
          <w:p>
            <w:pPr>
              <w:spacing w:after="0"/>
              <w:rPr>
                <w:sz w:val="24"/>
                <w:szCs w:val="24"/>
                <w:color w:val="auto"/>
              </w:rPr>
            </w:pPr>
          </w:p>
        </w:tc>
        <w:tc>
          <w:tcPr>
            <w:tcW w:w="7420" w:type="dxa"/>
            <w:vAlign w:val="bottom"/>
          </w:tcPr>
          <w:p>
            <w:pPr>
              <w:ind w:left="580"/>
              <w:spacing w:after="0"/>
              <w:rPr>
                <w:sz w:val="20"/>
                <w:szCs w:val="20"/>
                <w:color w:val="auto"/>
              </w:rPr>
            </w:pPr>
            <w:r>
              <w:rPr>
                <w:rFonts w:ascii="Arial" w:cs="Arial" w:eastAsia="Arial" w:hAnsi="Arial"/>
                <w:sz w:val="18"/>
                <w:szCs w:val="18"/>
                <w:b w:val="1"/>
                <w:bCs w:val="1"/>
                <w:i w:val="1"/>
                <w:iCs w:val="1"/>
                <w:color w:val="0048E0"/>
              </w:rPr>
              <w:t>Independence</w:t>
            </w:r>
          </w:p>
        </w:tc>
      </w:tr>
      <w:tr>
        <w:trPr>
          <w:trHeight w:val="426"/>
        </w:trPr>
        <w:tc>
          <w:tcPr>
            <w:tcW w:w="3820" w:type="dxa"/>
            <w:vAlign w:val="bottom"/>
          </w:tcPr>
          <w:p>
            <w:pPr>
              <w:spacing w:after="0"/>
              <w:rPr>
                <w:sz w:val="24"/>
                <w:szCs w:val="24"/>
                <w:color w:val="auto"/>
              </w:rPr>
            </w:pPr>
          </w:p>
        </w:tc>
        <w:tc>
          <w:tcPr>
            <w:tcW w:w="7420" w:type="dxa"/>
            <w:vAlign w:val="bottom"/>
          </w:tcPr>
          <w:p>
            <w:pPr>
              <w:ind w:left="580"/>
              <w:spacing w:after="0"/>
              <w:rPr>
                <w:sz w:val="20"/>
                <w:szCs w:val="20"/>
                <w:color w:val="auto"/>
              </w:rPr>
            </w:pPr>
            <w:r>
              <w:rPr>
                <w:rFonts w:ascii="Arial" w:cs="Arial" w:eastAsia="Arial" w:hAnsi="Arial"/>
                <w:sz w:val="18"/>
                <w:szCs w:val="18"/>
                <w:color w:val="auto"/>
              </w:rPr>
              <w:t>The Board reviewed the background, experience and independence of the</w:t>
            </w:r>
          </w:p>
        </w:tc>
      </w:tr>
      <w:tr>
        <w:trPr>
          <w:trHeight w:val="216"/>
        </w:trPr>
        <w:tc>
          <w:tcPr>
            <w:tcW w:w="3820" w:type="dxa"/>
            <w:vAlign w:val="bottom"/>
          </w:tcPr>
          <w:p>
            <w:pPr>
              <w:spacing w:after="0"/>
              <w:rPr>
                <w:sz w:val="18"/>
                <w:szCs w:val="18"/>
                <w:color w:val="auto"/>
              </w:rPr>
            </w:pPr>
          </w:p>
        </w:tc>
        <w:tc>
          <w:tcPr>
            <w:tcW w:w="7420" w:type="dxa"/>
            <w:vAlign w:val="bottom"/>
          </w:tcPr>
          <w:p>
            <w:pPr>
              <w:ind w:left="580"/>
              <w:spacing w:after="0"/>
              <w:rPr>
                <w:sz w:val="20"/>
                <w:szCs w:val="20"/>
                <w:color w:val="auto"/>
              </w:rPr>
            </w:pPr>
            <w:r>
              <w:rPr>
                <w:rFonts w:ascii="Arial" w:cs="Arial" w:eastAsia="Arial" w:hAnsi="Arial"/>
                <w:sz w:val="18"/>
                <w:szCs w:val="18"/>
                <w:color w:val="auto"/>
              </w:rPr>
              <w:t>Technology &amp; Operations Committee members and based on this review,</w:t>
            </w:r>
          </w:p>
        </w:tc>
      </w:tr>
      <w:tr>
        <w:trPr>
          <w:trHeight w:val="216"/>
        </w:trPr>
        <w:tc>
          <w:tcPr>
            <w:tcW w:w="3820" w:type="dxa"/>
            <w:vAlign w:val="bottom"/>
          </w:tcPr>
          <w:p>
            <w:pPr>
              <w:spacing w:after="0"/>
              <w:rPr>
                <w:sz w:val="18"/>
                <w:szCs w:val="18"/>
                <w:color w:val="auto"/>
              </w:rPr>
            </w:pPr>
          </w:p>
        </w:tc>
        <w:tc>
          <w:tcPr>
            <w:tcW w:w="7420" w:type="dxa"/>
            <w:vAlign w:val="bottom"/>
          </w:tcPr>
          <w:p>
            <w:pPr>
              <w:ind w:left="580"/>
              <w:spacing w:after="0"/>
              <w:rPr>
                <w:sz w:val="20"/>
                <w:szCs w:val="20"/>
                <w:color w:val="auto"/>
              </w:rPr>
            </w:pPr>
            <w:r>
              <w:rPr>
                <w:rFonts w:ascii="Arial" w:cs="Arial" w:eastAsia="Arial" w:hAnsi="Arial"/>
                <w:sz w:val="18"/>
                <w:szCs w:val="18"/>
                <w:color w:val="auto"/>
              </w:rPr>
              <w:t>the Board determined that each member of the committee meets the</w:t>
            </w:r>
          </w:p>
        </w:tc>
      </w:tr>
      <w:tr>
        <w:trPr>
          <w:trHeight w:val="222"/>
        </w:trPr>
        <w:tc>
          <w:tcPr>
            <w:tcW w:w="3820" w:type="dxa"/>
            <w:vAlign w:val="bottom"/>
          </w:tcPr>
          <w:p>
            <w:pPr>
              <w:spacing w:after="0"/>
              <w:rPr>
                <w:sz w:val="19"/>
                <w:szCs w:val="19"/>
                <w:color w:val="auto"/>
              </w:rPr>
            </w:pPr>
          </w:p>
        </w:tc>
        <w:tc>
          <w:tcPr>
            <w:tcW w:w="7420" w:type="dxa"/>
            <w:vAlign w:val="bottom"/>
          </w:tcPr>
          <w:p>
            <w:pPr>
              <w:ind w:left="580"/>
              <w:spacing w:after="0"/>
              <w:rPr>
                <w:sz w:val="20"/>
                <w:szCs w:val="20"/>
                <w:color w:val="auto"/>
              </w:rPr>
            </w:pPr>
            <w:r>
              <w:rPr>
                <w:rFonts w:ascii="Arial" w:cs="Arial" w:eastAsia="Arial" w:hAnsi="Arial"/>
                <w:sz w:val="18"/>
                <w:szCs w:val="18"/>
                <w:color w:val="auto"/>
              </w:rPr>
              <w:t>independence requirements specified in its charter.</w:t>
            </w:r>
          </w:p>
        </w:tc>
      </w:tr>
      <w:tr>
        <w:trPr>
          <w:trHeight w:val="475"/>
        </w:trPr>
        <w:tc>
          <w:tcPr>
            <w:tcW w:w="3820" w:type="dxa"/>
            <w:vAlign w:val="bottom"/>
          </w:tcPr>
          <w:p>
            <w:pPr>
              <w:spacing w:after="0"/>
              <w:rPr>
                <w:sz w:val="24"/>
                <w:szCs w:val="24"/>
                <w:color w:val="auto"/>
              </w:rPr>
            </w:pPr>
          </w:p>
        </w:tc>
        <w:tc>
          <w:tcPr>
            <w:tcW w:w="7420" w:type="dxa"/>
            <w:vAlign w:val="bottom"/>
          </w:tcPr>
          <w:p>
            <w:pPr>
              <w:ind w:left="2540"/>
              <w:spacing w:after="0"/>
              <w:rPr>
                <w:sz w:val="20"/>
                <w:szCs w:val="20"/>
                <w:color w:val="auto"/>
              </w:rPr>
            </w:pPr>
            <w:r>
              <w:rPr>
                <w:rFonts w:ascii="Arial" w:cs="Arial" w:eastAsia="Arial" w:hAnsi="Arial"/>
                <w:sz w:val="18"/>
                <w:szCs w:val="18"/>
                <w:b w:val="1"/>
                <w:bCs w:val="1"/>
                <w:color w:val="0048E0"/>
                <w:w w:val="93"/>
              </w:rPr>
              <w:t xml:space="preserve">World Fuel Services Corporation   </w:t>
            </w:r>
            <w:r>
              <w:rPr>
                <w:rFonts w:ascii="Arial" w:cs="Arial" w:eastAsia="Arial" w:hAnsi="Arial"/>
                <w:sz w:val="35"/>
                <w:szCs w:val="35"/>
                <w:b w:val="1"/>
                <w:bCs w:val="1"/>
                <w:color w:val="000000"/>
                <w:w w:val="93"/>
                <w:vertAlign w:val="subscript"/>
              </w:rPr>
              <w:t>|</w:t>
            </w:r>
            <w:r>
              <w:rPr>
                <w:rFonts w:ascii="Arial" w:cs="Arial" w:eastAsia="Arial" w:hAnsi="Arial"/>
                <w:sz w:val="18"/>
                <w:szCs w:val="18"/>
                <w:b w:val="1"/>
                <w:bCs w:val="1"/>
                <w:color w:val="0048E0"/>
                <w:w w:val="93"/>
              </w:rPr>
              <w:t xml:space="preserve">  </w:t>
            </w:r>
            <w:r>
              <w:rPr>
                <w:rFonts w:ascii="Arial" w:cs="Arial" w:eastAsia="Arial" w:hAnsi="Arial"/>
                <w:sz w:val="18"/>
                <w:szCs w:val="18"/>
                <w:color w:val="000000"/>
                <w:w w:val="93"/>
              </w:rPr>
              <w:t>2020 Proxy Statement  21</w:t>
            </w:r>
          </w:p>
        </w:tc>
      </w:tr>
      <w:tr>
        <w:trPr>
          <w:trHeight w:val="185"/>
        </w:trPr>
        <w:tc>
          <w:tcPr>
            <w:tcW w:w="3820" w:type="dxa"/>
            <w:vAlign w:val="bottom"/>
            <w:tcBorders>
              <w:bottom w:val="single" w:sz="8" w:color="808080"/>
            </w:tcBorders>
          </w:tcPr>
          <w:p>
            <w:pPr>
              <w:spacing w:after="0"/>
              <w:rPr>
                <w:sz w:val="16"/>
                <w:szCs w:val="16"/>
                <w:color w:val="auto"/>
              </w:rPr>
            </w:pPr>
          </w:p>
        </w:tc>
        <w:tc>
          <w:tcPr>
            <w:tcW w:w="74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Director Nomination Process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Nominee Qualifications and the Nomination Process</w:t>
      </w:r>
    </w:p>
    <w:p>
      <w:pPr>
        <w:spacing w:after="0" w:line="225"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Governance Committee believes that the Board should collectively possess a broad range of skills, knowledge, business experience and diversity of backgrounds that provides effective oversight of our business. The Governance Committee has established a matrix of skills and experience which it has determined would be beneficial to have represented on our Board based on a number of factors, including our current operating requirements, business strategy, and the long-term interests of our shareholders. The following table highlights certain of the skills and experience of our Board (additional details are set forth in their individual biographies beginning on page 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112395</wp:posOffset>
            </wp:positionV>
            <wp:extent cx="4869180" cy="58375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69180" cy="583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11"/>
        <w:spacing w:after="0" w:line="290" w:lineRule="auto"/>
        <w:rPr>
          <w:sz w:val="20"/>
          <w:szCs w:val="20"/>
          <w:color w:val="auto"/>
        </w:rPr>
      </w:pPr>
      <w:r>
        <w:rPr>
          <w:rFonts w:ascii="Arial" w:cs="Arial" w:eastAsia="Arial" w:hAnsi="Arial"/>
          <w:sz w:val="16"/>
          <w:szCs w:val="16"/>
          <w:color w:val="auto"/>
        </w:rPr>
        <w:t>The Board's objective is to maintain a diverse membership that can best further the success of our business and represent shareholder interests through the exercise of sound judgment using its diversity of experience and perspectives. The Governance Committee periodically assesses the skills and experience required of directors, comparing our needs in Board composition and the individual skills and experience of our directors. This assessment enables the Governance Committee to update the skills and experience it seeks in the Board, as a whole and in individual directors, as our needs evolve over time in order to maintain a balance of knowledge, experience and capabilities. As a result of such periodic assessment, the Governance Committee evaluates current directors and potential director nominees and will recommend any changes to Board size or composition that it believes is necessary to create a balanced and effective Board.</w:t>
      </w:r>
    </w:p>
    <w:p>
      <w:pPr>
        <w:spacing w:after="0" w:line="172"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To the extent that the Governance Committee believes that specific skills or experience needs to be added to the Board, the committee initiates a search for a Board nominee, seeking input from board members and senior management. The Governance Committee may retain professional search firms to identify director candidates and maintains the authority to approve the fees and other retention terms of any such firm. The criteria for evaluating director nominees takes into account the candidate's intellect, integrity, judgment, experience and background, including diversity, such as race, gender and ethnicity, as well other factors deemed appropriate in adding value to the composition of the Board, such as public service. Further, as set forth in our Corporate Governance Principles, the Governance Committee is committed to actively seeking highly qualified women and minority candidates, as well as candidates with diverse backgrounds, skills and experiences, as part of the search process for new director candidates. The Governance Committee believes that it has been able to attract and appoint directors of diverse backgrounds in the past using these criteria.</w:t>
      </w:r>
    </w:p>
    <w:p>
      <w:pPr>
        <w:spacing w:after="0" w:line="178" w:lineRule="exact"/>
        <w:rPr>
          <w:sz w:val="20"/>
          <w:szCs w:val="20"/>
          <w:color w:val="auto"/>
        </w:rPr>
      </w:pPr>
    </w:p>
    <w:p>
      <w:pPr>
        <w:ind w:right="260" w:firstLine="614"/>
        <w:spacing w:after="0" w:line="306" w:lineRule="auto"/>
        <w:rPr>
          <w:sz w:val="20"/>
          <w:szCs w:val="20"/>
          <w:color w:val="auto"/>
        </w:rPr>
      </w:pPr>
      <w:r>
        <w:rPr>
          <w:rFonts w:ascii="Arial" w:cs="Arial" w:eastAsia="Arial" w:hAnsi="Arial"/>
          <w:sz w:val="16"/>
          <w:szCs w:val="16"/>
          <w:color w:val="auto"/>
        </w:rPr>
        <w:t>Finally, in order to ensure that our independent directors have sufficient time to devote to overseeing the Company, our Corporate Governance Principles prohibit our directors from serving on the board of directors of more than three other publicly traded companies, unless the Board determines that such service will not impair the ability of such director to effectively perform his or her obligations as our director.</w:t>
      </w:r>
    </w:p>
    <w:p>
      <w:pPr>
        <w:spacing w:after="0" w:line="160" w:lineRule="exact"/>
        <w:rPr>
          <w:sz w:val="20"/>
          <w:szCs w:val="20"/>
          <w:color w:val="auto"/>
        </w:rPr>
      </w:pPr>
    </w:p>
    <w:p>
      <w:pPr>
        <w:ind w:right="40" w:firstLine="611"/>
        <w:spacing w:after="0" w:line="282" w:lineRule="auto"/>
        <w:rPr>
          <w:sz w:val="20"/>
          <w:szCs w:val="20"/>
          <w:color w:val="auto"/>
        </w:rPr>
      </w:pPr>
      <w:r>
        <w:rPr>
          <w:rFonts w:ascii="Arial" w:cs="Arial" w:eastAsia="Arial" w:hAnsi="Arial"/>
          <w:sz w:val="16"/>
          <w:szCs w:val="16"/>
          <w:color w:val="auto"/>
        </w:rPr>
        <w:t>We believe the Governance Committee has a sound director evaluation process and that such process is an effective method for determining whether a director is fit to serve on the Board. Our Governance Committee welcomes candidates recommended by shareholders and, assuming a submission is in proper form as provided under our By-Laws, it will apply the same standards described above to the evaluation of a shareholder nominee as it applies to all nominees, including those recommended by current directors, employees and others. The procedural and disclosure requirements of our By-Laws provide that shareholders who would like to propose a Board nominee for consideration by the Governance Committee must deliver written notice to our Corporate Secretary, including disclosure of: (i) the relationship between the nominating shareholder and the underlying beneficial owner, if any, and such parties' stock holdings and derivative positions in our securities; (ii) information we deem appropriate to ascertain the nominee's qualifications to serve on the Board, including disclosure of compensation arrangements between the nominee, the nominating shareholder and the underlying beneficial owner, if any; and (iii) any other information required to comply with the proxy rules and applicable law. These requirements are more fully described in Article I, Section 7 of our By-Laws, a copy of which will be provided without charge to any shareholder upon written request to our Corporate Secretary at World Fuel Services Corporation, 9800 Northwest 41st Street, Miami, Florida 33178.</w:t>
      </w:r>
    </w:p>
    <w:p>
      <w:pPr>
        <w:spacing w:after="0" w:line="4"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Director Resignation Policy</w:t>
      </w:r>
    </w:p>
    <w:p>
      <w:pPr>
        <w:spacing w:after="0" w:line="225" w:lineRule="exact"/>
        <w:rPr>
          <w:sz w:val="20"/>
          <w:szCs w:val="20"/>
          <w:color w:val="auto"/>
        </w:rPr>
      </w:pPr>
    </w:p>
    <w:p>
      <w:pPr>
        <w:ind w:firstLine="611"/>
        <w:spacing w:after="0" w:line="287" w:lineRule="auto"/>
        <w:rPr>
          <w:sz w:val="20"/>
          <w:szCs w:val="20"/>
          <w:color w:val="auto"/>
        </w:rPr>
      </w:pPr>
      <w:r>
        <w:rPr>
          <w:rFonts w:ascii="Arial" w:cs="Arial" w:eastAsia="Arial" w:hAnsi="Arial"/>
          <w:sz w:val="16"/>
          <w:szCs w:val="16"/>
          <w:color w:val="auto"/>
        </w:rPr>
        <w:t>We have adopted a director resignation policy for the election of directors in an uncontested election, which is generally defined as an election in which the number of nominees does not exceed the number of directors to be elected at the meeting. In uncontested elections of directors, such as this election, any director nominee who receives a greater number of votes "withheld" from his or her election than votes "for" his or her election must promptly tender his or her resignation for consideration by the Governance Committee. The Governance Committee will recommend to the Board whether the Board should accept or reject the resignation or whether other action should be taken. The Board will publicly disclose its decision regarding the tendered resignation within 90 days after certification of the election results. The director whose resignation is under consideration will not participate in the recommendation of the Governance Committee or deliberations of the Board with respect to his or her resignation. If a director's resignation is not accepted by the Board, the director will continue to serve until the next annual meeting of shareholders or until his or her successor is duly elected and qualified, or his or her earlier resignation or removal. A copy of our director resignation policy, included in our Corporate Governance Principles, is available on our website at www.wfscorp.com. Our website and information contained on our website are not part of this proxy statement and are not incorporated by reference in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Sustainability and Corporate Responsibility</w:t>
      </w:r>
    </w:p>
    <w:p>
      <w:pPr>
        <w:spacing w:after="0" w:line="231" w:lineRule="exact"/>
        <w:rPr>
          <w:sz w:val="20"/>
          <w:szCs w:val="20"/>
          <w:color w:val="auto"/>
        </w:rPr>
      </w:pPr>
    </w:p>
    <w:p>
      <w:pPr>
        <w:ind w:right="100" w:firstLine="611"/>
        <w:spacing w:after="0" w:line="317" w:lineRule="auto"/>
        <w:rPr>
          <w:sz w:val="20"/>
          <w:szCs w:val="20"/>
          <w:color w:val="auto"/>
        </w:rPr>
      </w:pPr>
      <w:r>
        <w:rPr>
          <w:rFonts w:ascii="Arial" w:cs="Arial" w:eastAsia="Arial" w:hAnsi="Arial"/>
          <w:sz w:val="15"/>
          <w:szCs w:val="15"/>
          <w:color w:val="auto"/>
        </w:rPr>
        <w:t>We believe that conducting our operations in a safe and responsible manner, while maintaining the trust that we have built up among our key stakeholders, is vital to growing our business and continuing our success in a sustainable manner. This includes the protection of people, respect for individual rights, engaging with our communities, and working to reduce our overall impact on the environment through increased efficiency in our operations. We are committed to fostering a corporate culture of safety and conducting our business in a manner that respects the environment, benefits the communities in which we operate and promotes collaboration with our key stakeholders to develop sustainable programs that minimize the impact of our activities.</w:t>
      </w:r>
    </w:p>
    <w:p>
      <w:pPr>
        <w:spacing w:after="0" w:line="157" w:lineRule="exact"/>
        <w:rPr>
          <w:sz w:val="20"/>
          <w:szCs w:val="20"/>
          <w:color w:val="auto"/>
        </w:rPr>
      </w:pPr>
    </w:p>
    <w:p>
      <w:pPr>
        <w:ind w:right="20" w:firstLine="614"/>
        <w:spacing w:after="0" w:line="282" w:lineRule="auto"/>
        <w:rPr>
          <w:sz w:val="20"/>
          <w:szCs w:val="20"/>
          <w:color w:val="auto"/>
        </w:rPr>
      </w:pPr>
      <w:r>
        <w:rPr>
          <w:rFonts w:ascii="Arial" w:cs="Arial" w:eastAsia="Arial" w:hAnsi="Arial"/>
          <w:sz w:val="16"/>
          <w:szCs w:val="16"/>
          <w:color w:val="auto"/>
        </w:rPr>
        <w:t>Over the last several years, we have reinforced our focus on environmental, health and safety, sustainability, diversity and other social responsibility issues and impacts (collectively, "Sustainability Matters"), through various enhancements to our policies and processes as well as our governance structure. In 2019, we took a number of significant steps to further strengthen our commitment to operating in a sustainable manner and proactively working with the communities in which we operate, including becoming a signatory to the United Nations ("UN") Global Compact, the world's largest corporate responsibility initiative. The UN Global Compact provides a universal framework for sustainability in the areas of human rights, labor, environment and anti-corruption. We aim to incorporate the UN Global Compact and its principles in our strategy, culture and operations and intend to support and engage in collaborative projects to advance the broader UN goals, with a special focus on the UN Sustainable Development Goals (SDG) that are in line with our mission and values. As part of our participation, starting in late 2020 we will provide an annual "Communication on Progress" report, setting forth our actions to implement the UN Global Compact principles and our progress in these key areas.</w:t>
      </w:r>
    </w:p>
    <w:p>
      <w:pPr>
        <w:spacing w:after="0" w:line="5"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in 2019 we commenced the development of a multi-year sustainability and corporate responsibility program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147955</wp:posOffset>
            </wp:positionV>
            <wp:extent cx="4680585" cy="17487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68058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currently working on completing the assessment phase of this program and developing recommendations for review and consideration by our executive leadership and our Board.</w:t>
      </w:r>
    </w:p>
    <w:p>
      <w:pPr>
        <w:spacing w:after="0" w:line="186" w:lineRule="exact"/>
        <w:rPr>
          <w:sz w:val="20"/>
          <w:szCs w:val="20"/>
          <w:color w:val="auto"/>
        </w:rPr>
      </w:pPr>
    </w:p>
    <w:p>
      <w:pPr>
        <w:ind w:right="40" w:firstLine="614"/>
        <w:spacing w:after="0" w:line="298" w:lineRule="auto"/>
        <w:rPr>
          <w:sz w:val="20"/>
          <w:szCs w:val="20"/>
          <w:color w:val="auto"/>
        </w:rPr>
      </w:pPr>
      <w:r>
        <w:rPr>
          <w:rFonts w:ascii="Arial" w:cs="Arial" w:eastAsia="Arial" w:hAnsi="Arial"/>
          <w:sz w:val="16"/>
          <w:szCs w:val="16"/>
          <w:color w:val="auto"/>
        </w:rPr>
        <w:t>Finally, to further illustrate our commitment to increasing transparency on Sustainability Matters, we have also enhanced our Investor Relations website located at: www.wfscorp.com and launched a dedicated area for information regarding our principles, policies and actions relating to sustainability and corporate responsibility matters that we believe are relevant to our business and meet the overall needs of our shareholders and other stakeholders. Our efforts in this area will continue to evolve in the future and we welcome any shareholder feedback as we continue on our sustainability journey.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Management and Board Oversight</w:t>
      </w:r>
    </w:p>
    <w:p>
      <w:pPr>
        <w:spacing w:after="0" w:line="225" w:lineRule="exact"/>
        <w:rPr>
          <w:sz w:val="20"/>
          <w:szCs w:val="20"/>
          <w:color w:val="auto"/>
        </w:rPr>
      </w:pPr>
    </w:p>
    <w:p>
      <w:pPr>
        <w:ind w:right="20" w:firstLine="605"/>
        <w:spacing w:after="0" w:line="291" w:lineRule="auto"/>
        <w:rPr>
          <w:sz w:val="20"/>
          <w:szCs w:val="20"/>
          <w:color w:val="auto"/>
        </w:rPr>
      </w:pPr>
      <w:r>
        <w:rPr>
          <w:rFonts w:ascii="Arial" w:cs="Arial" w:eastAsia="Arial" w:hAnsi="Arial"/>
          <w:sz w:val="16"/>
          <w:szCs w:val="16"/>
          <w:color w:val="auto"/>
        </w:rPr>
        <w:t>As we have progressed in our approach to sustainability and corporate responsibility, our governance and oversight structure has also evolved. At the Board level, we began in 2018 by enhancing the responsibilities of our Governance Committee, which already included oversight of our corporate governance policies and practices, to also include oversight of our policies and programs related to environmental and social matters. We also established a cross-functional Sustainability Management Committee, which includes senior leaders and subject matter experts from across the Company who collaborate to identify priorities, set goals and drive the implementation of our strategy and objectives with respect to Sustainability Matters. This committee is also responsible for developing and implementing our multi-year sustainability and corporate responsibility program currently underway.</w:t>
      </w:r>
    </w:p>
    <w:p>
      <w:pPr>
        <w:spacing w:after="0" w:line="174" w:lineRule="exact"/>
        <w:rPr>
          <w:sz w:val="20"/>
          <w:szCs w:val="20"/>
          <w:color w:val="auto"/>
        </w:rPr>
      </w:pPr>
    </w:p>
    <w:p>
      <w:pPr>
        <w:jc w:val="both"/>
        <w:ind w:right="40" w:firstLine="614"/>
        <w:spacing w:after="0" w:line="298" w:lineRule="auto"/>
        <w:rPr>
          <w:sz w:val="20"/>
          <w:szCs w:val="20"/>
          <w:color w:val="auto"/>
        </w:rPr>
      </w:pPr>
      <w:r>
        <w:rPr>
          <w:rFonts w:ascii="Arial" w:cs="Arial" w:eastAsia="Arial" w:hAnsi="Arial"/>
          <w:sz w:val="16"/>
          <w:szCs w:val="16"/>
          <w:color w:val="auto"/>
        </w:rPr>
        <w:t>Furthermore, as a reflection of our commitment to embedding sustainability and corporate responsibility as an integral part of our business strategy for long-term value creation, in March 2020 our Board established the Sustainability &amp; Corporate Responsibility Committee as a standing committee of the Board responsible for overseeing the environmental and social matters previously overseen by the Governance Committee. The Governance Committee will continue to be responsible for the oversight of our corporate governance policies and practices.</w:t>
      </w:r>
    </w:p>
    <w:p>
      <w:pPr>
        <w:spacing w:after="0" w:line="166" w:lineRule="exact"/>
        <w:rPr>
          <w:sz w:val="20"/>
          <w:szCs w:val="20"/>
          <w:color w:val="auto"/>
        </w:rPr>
      </w:pPr>
    </w:p>
    <w:p>
      <w:pPr>
        <w:ind w:right="40" w:firstLine="611"/>
        <w:spacing w:after="0" w:line="283" w:lineRule="auto"/>
        <w:rPr>
          <w:sz w:val="20"/>
          <w:szCs w:val="20"/>
          <w:color w:val="auto"/>
        </w:rPr>
      </w:pPr>
      <w:r>
        <w:rPr>
          <w:rFonts w:ascii="Arial" w:cs="Arial" w:eastAsia="Arial" w:hAnsi="Arial"/>
          <w:sz w:val="16"/>
          <w:szCs w:val="16"/>
          <w:color w:val="auto"/>
        </w:rPr>
        <w:t>The Sustainability &amp; Corporate Responsibility Committee is comprised solely of independent directors and responsible for overseeing and reviewing our programs, policies, risks and initiatives with respect to all Sustainability Matters not otherwise overseen by the other committees of the Board. These duties include reviewing and providing input on our strategy, goals and integration of Sustainability Matters into strategic and tactical business activities across the Company. The committee is also responsible for monitoring our progress against our goals and reviewing any disclosures</w:t>
      </w:r>
    </w:p>
    <w:p>
      <w:pPr>
        <w:spacing w:after="0" w:line="3"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331" w:lineRule="auto"/>
        <w:rPr>
          <w:sz w:val="20"/>
          <w:szCs w:val="20"/>
          <w:color w:val="auto"/>
        </w:rPr>
      </w:pPr>
      <w:r>
        <w:rPr>
          <w:rFonts w:ascii="Arial" w:cs="Arial" w:eastAsia="Arial" w:hAnsi="Arial"/>
          <w:sz w:val="16"/>
          <w:szCs w:val="16"/>
          <w:color w:val="auto"/>
        </w:rPr>
        <w:t>regarding our position, approach and reporting of Sustainability Matters. Our Board's governance structure for the oversight of Sustainability Matters is reflected below and described in the "Corporate Governance" section beginning on page 12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94615</wp:posOffset>
            </wp:positionV>
            <wp:extent cx="4149090" cy="21431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4909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Our Environmental Stewardship</w:t>
      </w:r>
    </w:p>
    <w:p>
      <w:pPr>
        <w:spacing w:after="0" w:line="225" w:lineRule="exact"/>
        <w:rPr>
          <w:sz w:val="20"/>
          <w:szCs w:val="20"/>
          <w:color w:val="auto"/>
        </w:rPr>
      </w:pPr>
    </w:p>
    <w:p>
      <w:pPr>
        <w:ind w:right="60" w:firstLine="614"/>
        <w:spacing w:after="0" w:line="256" w:lineRule="auto"/>
        <w:rPr>
          <w:sz w:val="20"/>
          <w:szCs w:val="20"/>
          <w:color w:val="auto"/>
        </w:rPr>
      </w:pPr>
      <w:r>
        <w:rPr>
          <w:rFonts w:ascii="Arial" w:cs="Arial" w:eastAsia="Arial" w:hAnsi="Arial"/>
          <w:sz w:val="18"/>
          <w:szCs w:val="18"/>
          <w:color w:val="auto"/>
        </w:rPr>
        <w:t>Environmental stewardship is at the core of our business operations and we continuously strive to identify opportunities to make a positive contribution to protecting our environment and reducing the impact of our global business operations. We are also working to create sustainability solutions for our customers and offer renewable energy and sustainable fuel products to support our customers in managing their energy needs while reducing their environmental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130175</wp:posOffset>
            </wp:positionV>
            <wp:extent cx="5700395" cy="27774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00395" cy="2777490"/>
                    </a:xfrm>
                    <a:prstGeom prst="rect">
                      <a:avLst/>
                    </a:prstGeom>
                    <a:noFill/>
                  </pic:spPr>
                </pic:pic>
              </a:graphicData>
            </a:graphic>
          </wp:anchor>
        </w:drawing>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FFFFFE"/>
        </w:rPr>
        <w:t>Highlights of "Our Environmental Stewardship" Programs and Efforts</w:t>
      </w:r>
    </w:p>
    <w:p>
      <w:pPr>
        <w:spacing w:after="0" w:line="281" w:lineRule="exact"/>
        <w:rPr>
          <w:sz w:val="20"/>
          <w:szCs w:val="20"/>
          <w:color w:val="auto"/>
        </w:rPr>
      </w:pPr>
    </w:p>
    <w:p>
      <w:pPr>
        <w:ind w:left="1460" w:right="1460"/>
        <w:spacing w:after="0" w:line="284" w:lineRule="auto"/>
        <w:rPr>
          <w:sz w:val="20"/>
          <w:szCs w:val="20"/>
          <w:color w:val="auto"/>
        </w:rPr>
      </w:pPr>
      <w:r>
        <w:rPr>
          <w:rFonts w:ascii="Arial" w:cs="Arial" w:eastAsia="Arial" w:hAnsi="Arial"/>
          <w:sz w:val="16"/>
          <w:szCs w:val="16"/>
          <w:b w:val="1"/>
          <w:bCs w:val="1"/>
          <w:color w:val="0048E0"/>
        </w:rPr>
        <w:t>Getting to Zero</w:t>
      </w:r>
      <w:r>
        <w:rPr>
          <w:rFonts w:ascii="Arial" w:cs="Arial" w:eastAsia="Arial" w:hAnsi="Arial"/>
          <w:sz w:val="16"/>
          <w:szCs w:val="16"/>
          <w:color w:val="000000"/>
        </w:rPr>
        <w:t>. In September 2019, we joined the "Getting to Zero Coalition", a global alliance of private and public</w:t>
      </w:r>
      <w:r>
        <w:rPr>
          <w:rFonts w:ascii="Arial" w:cs="Arial" w:eastAsia="Arial" w:hAnsi="Arial"/>
          <w:sz w:val="16"/>
          <w:szCs w:val="16"/>
          <w:b w:val="1"/>
          <w:bCs w:val="1"/>
          <w:color w:val="0048E0"/>
        </w:rPr>
        <w:t xml:space="preserve"> </w:t>
      </w:r>
      <w:r>
        <w:rPr>
          <w:rFonts w:ascii="Arial" w:cs="Arial" w:eastAsia="Arial" w:hAnsi="Arial"/>
          <w:sz w:val="16"/>
          <w:szCs w:val="16"/>
          <w:color w:val="000000"/>
        </w:rPr>
        <w:t>stakeholders within the maritime, energy, infrastructure and finance sectors focused on developing fuels, energy solutions and technology necessary to develop commercially viable deep-sea zero emission vessels powered by zero emission fuels by 2030. The Getting to Zero Coalition is a partnership between the Global Maritime Forum, the Friends of Ocean action, and the World Economic Forum.</w:t>
      </w:r>
    </w:p>
    <w:p>
      <w:pPr>
        <w:spacing w:after="0" w:line="4" w:lineRule="exact"/>
        <w:rPr>
          <w:sz w:val="20"/>
          <w:szCs w:val="20"/>
          <w:color w:val="auto"/>
        </w:rPr>
      </w:pPr>
    </w:p>
    <w:p>
      <w:pPr>
        <w:ind w:left="1460" w:right="1480"/>
        <w:spacing w:after="0" w:line="250" w:lineRule="auto"/>
        <w:rPr>
          <w:sz w:val="20"/>
          <w:szCs w:val="20"/>
          <w:color w:val="auto"/>
        </w:rPr>
      </w:pPr>
      <w:r>
        <w:rPr>
          <w:rFonts w:ascii="Arial" w:cs="Arial" w:eastAsia="Arial" w:hAnsi="Arial"/>
          <w:sz w:val="18"/>
          <w:szCs w:val="18"/>
          <w:b w:val="1"/>
          <w:bCs w:val="1"/>
          <w:color w:val="0048E0"/>
        </w:rPr>
        <w:t>Reducing Greenhouse Gas (GHG) Emissions</w:t>
      </w:r>
      <w:r>
        <w:rPr>
          <w:rFonts w:ascii="Arial" w:cs="Arial" w:eastAsia="Arial" w:hAnsi="Arial"/>
          <w:sz w:val="18"/>
          <w:szCs w:val="18"/>
          <w:color w:val="000000"/>
        </w:rPr>
        <w:t>. As a member of the Coalition of Sustainable Aviation Fuel (SAF),</w:t>
      </w:r>
      <w:r>
        <w:rPr>
          <w:rFonts w:ascii="Arial" w:cs="Arial" w:eastAsia="Arial" w:hAnsi="Arial"/>
          <w:sz w:val="18"/>
          <w:szCs w:val="18"/>
          <w:b w:val="1"/>
          <w:bCs w:val="1"/>
          <w:color w:val="0048E0"/>
        </w:rPr>
        <w:t xml:space="preserve"> </w:t>
      </w:r>
      <w:r>
        <w:rPr>
          <w:rFonts w:ascii="Arial" w:cs="Arial" w:eastAsia="Arial" w:hAnsi="Arial"/>
          <w:sz w:val="18"/>
          <w:szCs w:val="18"/>
          <w:color w:val="000000"/>
        </w:rPr>
        <w:t>we continue to support the business aviation industry's goal to reduce carbon emissions 50% by 2050. For example, in May 2019 we provided sustainable aviation jet fuel (SAF) at the European Business Aviation Convention and Exhibition held at TAG Farnborough Airport in the United Kingdom. Our supply of SAF was used for a demonstration showcasing the capability of SAF and the aviation industry's support for the development and adoption of sustainable fuels.</w:t>
      </w:r>
    </w:p>
    <w:p>
      <w:pPr>
        <w:spacing w:after="0" w:line="2" w:lineRule="exact"/>
        <w:rPr>
          <w:sz w:val="20"/>
          <w:szCs w:val="20"/>
          <w:color w:val="auto"/>
        </w:rPr>
      </w:pPr>
    </w:p>
    <w:p>
      <w:pPr>
        <w:ind w:left="1460" w:right="1500"/>
        <w:spacing w:after="0" w:line="284" w:lineRule="auto"/>
        <w:rPr>
          <w:sz w:val="20"/>
          <w:szCs w:val="20"/>
          <w:color w:val="auto"/>
        </w:rPr>
      </w:pPr>
      <w:r>
        <w:rPr>
          <w:rFonts w:ascii="Arial" w:cs="Arial" w:eastAsia="Arial" w:hAnsi="Arial"/>
          <w:sz w:val="16"/>
          <w:szCs w:val="16"/>
          <w:b w:val="1"/>
          <w:bCs w:val="1"/>
          <w:color w:val="0048E0"/>
        </w:rPr>
        <w:t>Sustainability Products and Services</w:t>
      </w:r>
      <w:r>
        <w:rPr>
          <w:rFonts w:ascii="Arial" w:cs="Arial" w:eastAsia="Arial" w:hAnsi="Arial"/>
          <w:sz w:val="16"/>
          <w:szCs w:val="16"/>
          <w:color w:val="000000"/>
        </w:rPr>
        <w:t>. As an energy management company, we have been focused on investing in</w:t>
      </w:r>
      <w:r>
        <w:rPr>
          <w:rFonts w:ascii="Arial" w:cs="Arial" w:eastAsia="Arial" w:hAnsi="Arial"/>
          <w:sz w:val="16"/>
          <w:szCs w:val="16"/>
          <w:b w:val="1"/>
          <w:bCs w:val="1"/>
          <w:color w:val="0048E0"/>
        </w:rPr>
        <w:t xml:space="preserve"> </w:t>
      </w:r>
      <w:r>
        <w:rPr>
          <w:rFonts w:ascii="Arial" w:cs="Arial" w:eastAsia="Arial" w:hAnsi="Arial"/>
          <w:sz w:val="16"/>
          <w:szCs w:val="16"/>
          <w:color w:val="000000"/>
        </w:rPr>
        <w:t>and expanding our portfolio of sustainability products and services across the energy product spectrum to help our customers achieve their sustainability goals. Through our World Kinect Energy Services business, we offer sustainability solutions that incorporate a carbon footprint reporting tool, renewable energy solutions, alternative fuels and energy efficiency measures to lessen customers' environmental impact and reduce their carbon footprint. We have also focused on promoting the use of sustainable and renewable fuels in the aviation, marine and land transportation industries where we operate.</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Our People</w:t>
      </w:r>
    </w:p>
    <w:p>
      <w:pPr>
        <w:spacing w:after="0" w:line="225" w:lineRule="exact"/>
        <w:rPr>
          <w:sz w:val="20"/>
          <w:szCs w:val="20"/>
          <w:color w:val="auto"/>
        </w:rPr>
      </w:pPr>
    </w:p>
    <w:p>
      <w:pPr>
        <w:jc w:val="both"/>
        <w:ind w:right="120" w:firstLine="611"/>
        <w:spacing w:after="0" w:line="256" w:lineRule="auto"/>
        <w:rPr>
          <w:sz w:val="20"/>
          <w:szCs w:val="20"/>
          <w:color w:val="auto"/>
        </w:rPr>
      </w:pPr>
      <w:r>
        <w:rPr>
          <w:rFonts w:ascii="Arial" w:cs="Arial" w:eastAsia="Arial" w:hAnsi="Arial"/>
          <w:sz w:val="18"/>
          <w:szCs w:val="18"/>
          <w:color w:val="auto"/>
        </w:rPr>
        <w:t>The passion and expertise of our people differentiate us. We firmly believe the power of our differences fuel innovation and investing in our people is of upmost priority. We strive to provide our employees with an environment where they can learn and grow, build their careers, take care of their families and support their communities. We also place a high value on cultivating growth and offer opportunities to learn and development programs across every level of our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130175</wp:posOffset>
            </wp:positionV>
            <wp:extent cx="5700395" cy="2228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00395" cy="2228850"/>
                    </a:xfrm>
                    <a:prstGeom prst="rect">
                      <a:avLst/>
                    </a:prstGeom>
                    <a:noFill/>
                  </pic:spPr>
                </pic:pic>
              </a:graphicData>
            </a:graphic>
          </wp:anchor>
        </w:drawing>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FFFFFE"/>
        </w:rPr>
        <w:t>Highlights of "Our People" Programs and Efforts</w:t>
      </w:r>
    </w:p>
    <w:p>
      <w:pPr>
        <w:spacing w:after="0" w:line="281" w:lineRule="exact"/>
        <w:rPr>
          <w:sz w:val="20"/>
          <w:szCs w:val="20"/>
          <w:color w:val="auto"/>
        </w:rPr>
      </w:pPr>
    </w:p>
    <w:p>
      <w:pPr>
        <w:ind w:left="1460" w:right="1500"/>
        <w:spacing w:after="0" w:line="253" w:lineRule="auto"/>
        <w:rPr>
          <w:sz w:val="20"/>
          <w:szCs w:val="20"/>
          <w:color w:val="auto"/>
        </w:rPr>
      </w:pPr>
      <w:r>
        <w:rPr>
          <w:rFonts w:ascii="Arial" w:cs="Arial" w:eastAsia="Arial" w:hAnsi="Arial"/>
          <w:sz w:val="18"/>
          <w:szCs w:val="18"/>
          <w:b w:val="1"/>
          <w:bCs w:val="1"/>
          <w:color w:val="0048E0"/>
        </w:rPr>
        <w:t>Diversity &amp; Inclusion</w:t>
      </w:r>
      <w:r>
        <w:rPr>
          <w:rFonts w:ascii="Arial" w:cs="Arial" w:eastAsia="Arial" w:hAnsi="Arial"/>
          <w:sz w:val="18"/>
          <w:szCs w:val="18"/>
          <w:color w:val="000000"/>
        </w:rPr>
        <w:t>. We have continued to focus on embedding diversity and inclusion throughout our talent</w:t>
      </w:r>
      <w:r>
        <w:rPr>
          <w:rFonts w:ascii="Arial" w:cs="Arial" w:eastAsia="Arial" w:hAnsi="Arial"/>
          <w:sz w:val="18"/>
          <w:szCs w:val="18"/>
          <w:b w:val="1"/>
          <w:bCs w:val="1"/>
          <w:color w:val="0048E0"/>
        </w:rPr>
        <w:t xml:space="preserve"> </w:t>
      </w:r>
      <w:r>
        <w:rPr>
          <w:rFonts w:ascii="Arial" w:cs="Arial" w:eastAsia="Arial" w:hAnsi="Arial"/>
          <w:sz w:val="18"/>
          <w:szCs w:val="18"/>
          <w:color w:val="000000"/>
        </w:rPr>
        <w:t>acquisition, management and development practices. From recent graduates to experienced hires, we seek to attract and develop top talent to continue building a unique blend of cultures, background, skills and beliefs that mirrors the world we live in. We have focused on creating an environment that embraces diversity and encourages each employee to thrive.</w:t>
      </w:r>
    </w:p>
    <w:p>
      <w:pPr>
        <w:spacing w:after="0" w:line="1" w:lineRule="exact"/>
        <w:rPr>
          <w:sz w:val="20"/>
          <w:szCs w:val="20"/>
          <w:color w:val="auto"/>
        </w:rPr>
      </w:pPr>
    </w:p>
    <w:p>
      <w:pPr>
        <w:ind w:left="1460" w:right="1500"/>
        <w:spacing w:after="0" w:line="286" w:lineRule="auto"/>
        <w:rPr>
          <w:sz w:val="20"/>
          <w:szCs w:val="20"/>
          <w:color w:val="auto"/>
        </w:rPr>
      </w:pPr>
      <w:r>
        <w:rPr>
          <w:rFonts w:ascii="Arial" w:cs="Arial" w:eastAsia="Arial" w:hAnsi="Arial"/>
          <w:sz w:val="16"/>
          <w:szCs w:val="16"/>
          <w:b w:val="1"/>
          <w:bCs w:val="1"/>
          <w:color w:val="0048E0"/>
        </w:rPr>
        <w:t>ITWomen</w:t>
      </w:r>
      <w:r>
        <w:rPr>
          <w:rFonts w:ascii="Arial" w:cs="Arial" w:eastAsia="Arial" w:hAnsi="Arial"/>
          <w:sz w:val="16"/>
          <w:szCs w:val="16"/>
          <w:color w:val="000000"/>
        </w:rPr>
        <w:t>. We have partnered with ITWomen, a non-profit organization founded in 2002 to narrow the gender gap in</w:t>
      </w:r>
      <w:r>
        <w:rPr>
          <w:rFonts w:ascii="Arial" w:cs="Arial" w:eastAsia="Arial" w:hAnsi="Arial"/>
          <w:sz w:val="16"/>
          <w:szCs w:val="16"/>
          <w:b w:val="1"/>
          <w:bCs w:val="1"/>
          <w:color w:val="0048E0"/>
        </w:rPr>
        <w:t xml:space="preserve"> </w:t>
      </w:r>
      <w:r>
        <w:rPr>
          <w:rFonts w:ascii="Arial" w:cs="Arial" w:eastAsia="Arial" w:hAnsi="Arial"/>
          <w:sz w:val="16"/>
          <w:szCs w:val="16"/>
          <w:color w:val="000000"/>
        </w:rPr>
        <w:t>technology and increase the potential for innovation and economic growth through gender equality. The programs are geared to ignite a passion for technology in the next generation by reaching out to girls in middle school, high school, and college. Our technology leaders contribute their time in the ITWomen speaker series to share experiences that encourage girls in high school to pursue technology and engineering careers, including hosting them at our headquarters to experience IT careers in the corporate environment. For the fifth year in a row, we hosted a group of more than 60 high school girls at our headquarters in 2019 to participate in an interactive journey through the Agile lifecycle, where they were able to experience first-hand how a global company leverages technologies such as cloud and artificial intelligence.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Our Community</w:t>
      </w:r>
    </w:p>
    <w:p>
      <w:pPr>
        <w:spacing w:after="0" w:line="225"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We believe that sustainable growth is about conducting our business to promote a healthy environment and strengthen the local communities where we operate in order to foster sustainable economic growth. We believe that this approach will enable us to deliver long-term value to all our stakeholders. As a signatory to the UN Global Compact, we endeavor to implement its key social principles, including the protection of employees, respect for individual rights, and engagement with local communities. We also respect the rights and dignity of all people and are committed to preventing modern slavery in our operations and supply chains.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132715</wp:posOffset>
            </wp:positionV>
            <wp:extent cx="5700395" cy="25285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00395" cy="2528570"/>
                    </a:xfrm>
                    <a:prstGeom prst="rect">
                      <a:avLst/>
                    </a:prstGeom>
                    <a:noFill/>
                  </pic:spPr>
                </pic:pic>
              </a:graphicData>
            </a:graphic>
          </wp:anchor>
        </w:drawing>
      </w: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FFFFFE"/>
        </w:rPr>
        <w:t>Highlights of "Our Community" Programs and Efforts</w:t>
      </w:r>
    </w:p>
    <w:p>
      <w:pPr>
        <w:spacing w:after="0" w:line="281" w:lineRule="exact"/>
        <w:rPr>
          <w:sz w:val="20"/>
          <w:szCs w:val="20"/>
          <w:color w:val="auto"/>
        </w:rPr>
      </w:pPr>
    </w:p>
    <w:p>
      <w:pPr>
        <w:ind w:left="1460" w:right="1460"/>
        <w:spacing w:after="0" w:line="284" w:lineRule="auto"/>
        <w:rPr>
          <w:sz w:val="20"/>
          <w:szCs w:val="20"/>
          <w:color w:val="auto"/>
        </w:rPr>
      </w:pPr>
      <w:r>
        <w:rPr>
          <w:rFonts w:ascii="Arial" w:cs="Arial" w:eastAsia="Arial" w:hAnsi="Arial"/>
          <w:sz w:val="16"/>
          <w:szCs w:val="16"/>
          <w:b w:val="1"/>
          <w:bCs w:val="1"/>
          <w:color w:val="0048E0"/>
        </w:rPr>
        <w:t>Human Rights</w:t>
      </w:r>
      <w:r>
        <w:rPr>
          <w:rFonts w:ascii="Arial" w:cs="Arial" w:eastAsia="Arial" w:hAnsi="Arial"/>
          <w:sz w:val="16"/>
          <w:szCs w:val="16"/>
          <w:color w:val="000000"/>
        </w:rPr>
        <w:t>. Our commitment to human rights is embodied in our corporate values and our policies and processes.</w:t>
      </w:r>
      <w:r>
        <w:rPr>
          <w:rFonts w:ascii="Arial" w:cs="Arial" w:eastAsia="Arial" w:hAnsi="Arial"/>
          <w:sz w:val="16"/>
          <w:szCs w:val="16"/>
          <w:b w:val="1"/>
          <w:bCs w:val="1"/>
          <w:color w:val="0048E0"/>
        </w:rPr>
        <w:t xml:space="preserve"> </w:t>
      </w:r>
      <w:r>
        <w:rPr>
          <w:rFonts w:ascii="Arial" w:cs="Arial" w:eastAsia="Arial" w:hAnsi="Arial"/>
          <w:sz w:val="16"/>
          <w:szCs w:val="16"/>
          <w:color w:val="000000"/>
        </w:rPr>
        <w:t>We are a strong advocate of various human rights initiatives, such as the United Nations Declaration of Human Rights, and comply with various national and multinational efforts to enforce labor protections and individual rights, such as the United Kingdom Modern Slavery Act. We have various policies, procedures and public statements in place that support these principles. These resources, many of which have been translated into multiple languages, include our Code of Conduct, Anti-Corruption Policy and Business Partner Code of Conduct.</w:t>
      </w:r>
    </w:p>
    <w:p>
      <w:pPr>
        <w:spacing w:after="0" w:line="2" w:lineRule="exact"/>
        <w:rPr>
          <w:sz w:val="20"/>
          <w:szCs w:val="20"/>
          <w:color w:val="auto"/>
        </w:rPr>
      </w:pPr>
    </w:p>
    <w:p>
      <w:pPr>
        <w:ind w:left="1460" w:right="1500"/>
        <w:spacing w:after="0" w:line="255" w:lineRule="auto"/>
        <w:rPr>
          <w:sz w:val="20"/>
          <w:szCs w:val="20"/>
          <w:color w:val="auto"/>
        </w:rPr>
      </w:pPr>
      <w:r>
        <w:rPr>
          <w:rFonts w:ascii="Arial" w:cs="Arial" w:eastAsia="Arial" w:hAnsi="Arial"/>
          <w:sz w:val="17"/>
          <w:szCs w:val="17"/>
          <w:b w:val="1"/>
          <w:bCs w:val="1"/>
          <w:color w:val="0048E0"/>
        </w:rPr>
        <w:t>Track My Electricity</w:t>
      </w:r>
      <w:r>
        <w:rPr>
          <w:rFonts w:ascii="Arial" w:cs="Arial" w:eastAsia="Arial" w:hAnsi="Arial"/>
          <w:sz w:val="28"/>
          <w:szCs w:val="28"/>
          <w:b w:val="1"/>
          <w:bCs w:val="1"/>
          <w:color w:val="0048E0"/>
          <w:vertAlign w:val="superscript"/>
        </w:rPr>
        <w:t>TM</w:t>
      </w:r>
      <w:r>
        <w:rPr>
          <w:rFonts w:ascii="Arial" w:cs="Arial" w:eastAsia="Arial" w:hAnsi="Arial"/>
          <w:sz w:val="17"/>
          <w:szCs w:val="17"/>
          <w:b w:val="1"/>
          <w:bCs w:val="1"/>
          <w:color w:val="0048E0"/>
        </w:rPr>
        <w:t xml:space="preserve">. </w:t>
      </w:r>
      <w:r>
        <w:rPr>
          <w:rFonts w:ascii="Arial" w:cs="Arial" w:eastAsia="Arial" w:hAnsi="Arial"/>
          <w:sz w:val="17"/>
          <w:szCs w:val="17"/>
          <w:color w:val="000000"/>
        </w:rPr>
        <w:t>Track my Electricity</w:t>
      </w:r>
      <w:r>
        <w:rPr>
          <w:rFonts w:ascii="Arial" w:cs="Arial" w:eastAsia="Arial" w:hAnsi="Arial"/>
          <w:sz w:val="28"/>
          <w:szCs w:val="28"/>
          <w:color w:val="000000"/>
          <w:vertAlign w:val="superscript"/>
        </w:rPr>
        <w:t>TM</w:t>
      </w:r>
      <w:r>
        <w:rPr>
          <w:rFonts w:ascii="Arial" w:cs="Arial" w:eastAsia="Arial" w:hAnsi="Arial"/>
          <w:sz w:val="17"/>
          <w:szCs w:val="17"/>
          <w:b w:val="1"/>
          <w:bCs w:val="1"/>
          <w:color w:val="0048E0"/>
        </w:rPr>
        <w:t xml:space="preserve"> </w:t>
      </w:r>
      <w:r>
        <w:rPr>
          <w:rFonts w:ascii="Arial" w:cs="Arial" w:eastAsia="Arial" w:hAnsi="Arial"/>
          <w:sz w:val="17"/>
          <w:szCs w:val="17"/>
          <w:color w:val="000000"/>
        </w:rPr>
        <w:t>is a platform developed by our World Kinect Energy Services</w:t>
      </w:r>
      <w:r>
        <w:rPr>
          <w:rFonts w:ascii="Arial" w:cs="Arial" w:eastAsia="Arial" w:hAnsi="Arial"/>
          <w:sz w:val="17"/>
          <w:szCs w:val="17"/>
          <w:b w:val="1"/>
          <w:bCs w:val="1"/>
          <w:color w:val="0048E0"/>
        </w:rPr>
        <w:t xml:space="preserve"> </w:t>
      </w:r>
      <w:r>
        <w:rPr>
          <w:rFonts w:ascii="Arial" w:cs="Arial" w:eastAsia="Arial" w:hAnsi="Arial"/>
          <w:sz w:val="17"/>
          <w:szCs w:val="17"/>
          <w:color w:val="000000"/>
        </w:rPr>
        <w:t>business that enables businesses to not only significantly reduce their organizational carbon footprint by sourcing 100% renewable energy, but to also support vulnerable communities in developing countries by combating energy poverty. For every MWh of clean energy sourced through the platform, a portion goes towards funding renewable energy projects in remote, off-grid areas to eliminate energy poverty and build sustainable communities. We have also participated in funding projects through this program. One such project included the installation of renewable energy solar panels in a community center in Mae Sot, Thailand to support around-the-clock powered activities, enabling access to educational opportunities within the community center, freshly prepared food and a safe environment to socialize. The solar panels that were installed also increased safety and visibility at night by powering streetlights in the area.</w:t>
      </w:r>
    </w:p>
    <w:p>
      <w:pPr>
        <w:spacing w:after="0" w:line="2"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Board's Role in Risk Oversight</w:t>
      </w:r>
    </w:p>
    <w:p>
      <w:pPr>
        <w:spacing w:after="0" w:line="231" w:lineRule="exact"/>
        <w:rPr>
          <w:sz w:val="20"/>
          <w:szCs w:val="20"/>
          <w:color w:val="auto"/>
        </w:rPr>
      </w:pPr>
    </w:p>
    <w:p>
      <w:pPr>
        <w:ind w:right="80" w:firstLine="611"/>
        <w:spacing w:after="0" w:line="323" w:lineRule="auto"/>
        <w:rPr>
          <w:sz w:val="20"/>
          <w:szCs w:val="20"/>
          <w:color w:val="auto"/>
        </w:rPr>
      </w:pPr>
      <w:r>
        <w:rPr>
          <w:rFonts w:ascii="Arial" w:cs="Arial" w:eastAsia="Arial" w:hAnsi="Arial"/>
          <w:sz w:val="15"/>
          <w:szCs w:val="15"/>
          <w:color w:val="auto"/>
        </w:rPr>
        <w:t>The role of the Board is to understand the nature of the material risks we face and, based upon the information brought to its attention by management and our risk management processes, policies and procedures, evaluate whether such processes, policies and procedures are reasonably designed to respond to and mitigate the risks we face. Throughout the year, the Board and its committees receive periodic reports from management identifying and explaining key areas of risk applicable to us and an explanation of the processes, policies and procedures in place to monitor and assess those risks.</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Board and each of its committees oversee the risks pertaining to their principal areas of focus as described in the table below:</w:t>
      </w:r>
    </w:p>
    <w:p>
      <w:pPr>
        <w:spacing w:after="0" w:line="213" w:lineRule="exact"/>
        <w:rPr>
          <w:sz w:val="20"/>
          <w:szCs w:val="20"/>
          <w:color w:val="auto"/>
        </w:rPr>
      </w:pPr>
    </w:p>
    <w:tbl>
      <w:tblPr>
        <w:tblLayout w:type="fixed"/>
        <w:tblInd w:w="1370" w:type="dxa"/>
        <w:tblCellMar>
          <w:top w:w="0" w:type="dxa"/>
          <w:left w:w="0" w:type="dxa"/>
          <w:bottom w:w="0" w:type="dxa"/>
          <w:right w:w="0" w:type="dxa"/>
        </w:tblCellMar>
      </w:tblPr>
      <w:tr>
        <w:trPr>
          <w:trHeight w:val="210"/>
        </w:trPr>
        <w:tc>
          <w:tcPr>
            <w:tcW w:w="160" w:type="dxa"/>
            <w:vAlign w:val="bottom"/>
            <w:tcBorders>
              <w:top w:val="single" w:sz="8" w:color="auto"/>
              <w:left w:val="single" w:sz="8" w:color="00529B"/>
              <w:bottom w:val="single" w:sz="8" w:color="00529B"/>
              <w:right w:val="single" w:sz="8" w:color="auto"/>
            </w:tcBorders>
            <w:shd w:val="clear" w:color="auto" w:fill="00529B"/>
          </w:tcPr>
          <w:p>
            <w:pPr>
              <w:spacing w:after="0"/>
              <w:rPr>
                <w:sz w:val="18"/>
                <w:szCs w:val="18"/>
                <w:color w:val="auto"/>
              </w:rPr>
            </w:pPr>
          </w:p>
        </w:tc>
        <w:tc>
          <w:tcPr>
            <w:tcW w:w="1500" w:type="dxa"/>
            <w:vAlign w:val="bottom"/>
            <w:tcBorders>
              <w:top w:val="single" w:sz="8" w:color="auto"/>
              <w:bottom w:val="single" w:sz="8" w:color="00529B"/>
            </w:tcBorders>
            <w:shd w:val="clear" w:color="auto" w:fill="00529B"/>
          </w:tcPr>
          <w:p>
            <w:pPr>
              <w:ind w:left="160"/>
              <w:spacing w:after="0"/>
              <w:rPr>
                <w:sz w:val="20"/>
                <w:szCs w:val="20"/>
                <w:color w:val="auto"/>
              </w:rPr>
            </w:pPr>
            <w:r>
              <w:rPr>
                <w:rFonts w:ascii="Arial" w:cs="Arial" w:eastAsia="Arial" w:hAnsi="Arial"/>
                <w:sz w:val="13"/>
                <w:szCs w:val="13"/>
                <w:b w:val="1"/>
                <w:bCs w:val="1"/>
                <w:color w:val="FFFFFE"/>
              </w:rPr>
              <w:t>Board or Committee</w:t>
            </w:r>
          </w:p>
        </w:tc>
        <w:tc>
          <w:tcPr>
            <w:tcW w:w="6760" w:type="dxa"/>
            <w:vAlign w:val="bottom"/>
            <w:tcBorders>
              <w:top w:val="single" w:sz="8" w:color="auto"/>
              <w:bottom w:val="single" w:sz="8" w:color="00529B"/>
              <w:right w:val="single" w:sz="8" w:color="auto"/>
            </w:tcBorders>
            <w:shd w:val="clear" w:color="auto" w:fill="00529B"/>
          </w:tcPr>
          <w:p>
            <w:pPr>
              <w:ind w:left="2640"/>
              <w:spacing w:after="0"/>
              <w:rPr>
                <w:sz w:val="20"/>
                <w:szCs w:val="20"/>
                <w:color w:val="auto"/>
              </w:rPr>
            </w:pPr>
            <w:r>
              <w:rPr>
                <w:rFonts w:ascii="Arial" w:cs="Arial" w:eastAsia="Arial" w:hAnsi="Arial"/>
                <w:sz w:val="13"/>
                <w:szCs w:val="13"/>
                <w:b w:val="1"/>
                <w:bCs w:val="1"/>
                <w:color w:val="FFFFFE"/>
              </w:rPr>
              <w:t>Area of Risk Oversight</w:t>
            </w:r>
          </w:p>
        </w:tc>
      </w:tr>
      <w:tr>
        <w:trPr>
          <w:trHeight w:val="208"/>
        </w:trPr>
        <w:tc>
          <w:tcPr>
            <w:tcW w:w="160" w:type="dxa"/>
            <w:vAlign w:val="bottom"/>
            <w:tcBorders>
              <w:lef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67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   Considers strategic and operational risks associated with the annual operating plan</w:t>
            </w:r>
          </w:p>
        </w:tc>
      </w:tr>
      <w:tr>
        <w:trPr>
          <w:trHeight w:val="216"/>
        </w:trPr>
        <w:tc>
          <w:tcPr>
            <w:tcW w:w="160" w:type="dxa"/>
            <w:vAlign w:val="bottom"/>
            <w:tcBorders>
              <w:left w:val="single" w:sz="8" w:color="auto"/>
            </w:tcBorders>
          </w:tcPr>
          <w:p>
            <w:pPr>
              <w:spacing w:after="0"/>
              <w:rPr>
                <w:sz w:val="18"/>
                <w:szCs w:val="18"/>
                <w:color w:val="auto"/>
              </w:rPr>
            </w:pPr>
          </w:p>
        </w:tc>
        <w:tc>
          <w:tcPr>
            <w:tcW w:w="1500" w:type="dxa"/>
            <w:vAlign w:val="bottom"/>
          </w:tcPr>
          <w:p>
            <w:pPr>
              <w:ind w:left="160"/>
              <w:spacing w:after="0"/>
              <w:rPr>
                <w:sz w:val="20"/>
                <w:szCs w:val="20"/>
                <w:color w:val="auto"/>
              </w:rPr>
            </w:pPr>
            <w:r>
              <w:rPr>
                <w:rFonts w:ascii="Arial" w:cs="Arial" w:eastAsia="Arial" w:hAnsi="Arial"/>
                <w:sz w:val="18"/>
                <w:szCs w:val="18"/>
                <w:color w:val="auto"/>
              </w:rPr>
              <w:t>Board</w:t>
            </w:r>
          </w:p>
        </w:tc>
        <w:tc>
          <w:tcPr>
            <w:tcW w:w="67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6"/>
              </w:rPr>
              <w:t>and other current matters that may present material risks to our operations, plans,</w:t>
            </w:r>
          </w:p>
        </w:tc>
      </w:tr>
      <w:tr>
        <w:trPr>
          <w:trHeight w:val="223"/>
        </w:trPr>
        <w:tc>
          <w:tcPr>
            <w:tcW w:w="160" w:type="dxa"/>
            <w:vAlign w:val="bottom"/>
            <w:tcBorders>
              <w:lef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67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prospects or reputation and risks associated with acquisitions.</w:t>
            </w:r>
          </w:p>
        </w:tc>
      </w:tr>
      <w:tr>
        <w:trPr>
          <w:trHeight w:val="209"/>
        </w:trPr>
        <w:tc>
          <w:tcPr>
            <w:tcW w:w="160" w:type="dxa"/>
            <w:vAlign w:val="bottom"/>
            <w:tcBorders>
              <w:left w:val="single" w:sz="8" w:color="auto"/>
              <w:right w:val="single" w:sz="8" w:color="D1D7EB"/>
            </w:tcBorders>
            <w:shd w:val="clear" w:color="auto" w:fill="D1D7EB"/>
          </w:tcPr>
          <w:p>
            <w:pPr>
              <w:spacing w:after="0"/>
              <w:rPr>
                <w:sz w:val="18"/>
                <w:szCs w:val="18"/>
                <w:color w:val="auto"/>
              </w:rPr>
            </w:pPr>
          </w:p>
        </w:tc>
        <w:tc>
          <w:tcPr>
            <w:tcW w:w="1500" w:type="dxa"/>
            <w:vAlign w:val="bottom"/>
            <w:shd w:val="clear" w:color="auto" w:fill="D1D7EB"/>
          </w:tcPr>
          <w:p>
            <w:pPr>
              <w:ind w:left="160"/>
              <w:spacing w:after="0"/>
              <w:rPr>
                <w:sz w:val="20"/>
                <w:szCs w:val="20"/>
                <w:color w:val="auto"/>
              </w:rPr>
            </w:pPr>
            <w:r>
              <w:rPr>
                <w:rFonts w:ascii="Arial" w:cs="Arial" w:eastAsia="Arial" w:hAnsi="Arial"/>
                <w:sz w:val="18"/>
                <w:szCs w:val="18"/>
                <w:color w:val="auto"/>
              </w:rPr>
              <w:t>Audit</w:t>
            </w:r>
          </w:p>
        </w:tc>
        <w:tc>
          <w:tcPr>
            <w:tcW w:w="6760" w:type="dxa"/>
            <w:vAlign w:val="bottom"/>
            <w:tcBorders>
              <w:right w:val="single" w:sz="8" w:color="auto"/>
            </w:tcBorders>
            <w:shd w:val="clear" w:color="auto" w:fill="D1D7EB"/>
          </w:tcPr>
          <w:p>
            <w:pPr>
              <w:ind w:left="160"/>
              <w:spacing w:after="0"/>
              <w:rPr>
                <w:sz w:val="20"/>
                <w:szCs w:val="20"/>
                <w:color w:val="auto"/>
              </w:rPr>
            </w:pPr>
            <w:r>
              <w:rPr>
                <w:rFonts w:ascii="Arial" w:cs="Arial" w:eastAsia="Arial" w:hAnsi="Arial"/>
                <w:sz w:val="18"/>
                <w:szCs w:val="18"/>
                <w:color w:val="auto"/>
                <w:w w:val="94"/>
              </w:rPr>
              <w:t>•   Considers risks associated with the financial reporting and disclosure process, major</w:t>
            </w:r>
          </w:p>
        </w:tc>
      </w:tr>
      <w:tr>
        <w:trPr>
          <w:trHeight w:val="216"/>
        </w:trPr>
        <w:tc>
          <w:tcPr>
            <w:tcW w:w="160" w:type="dxa"/>
            <w:vAlign w:val="bottom"/>
            <w:tcBorders>
              <w:left w:val="single" w:sz="8" w:color="auto"/>
              <w:right w:val="single" w:sz="8" w:color="D1D7EB"/>
            </w:tcBorders>
            <w:shd w:val="clear" w:color="auto" w:fill="D1D7EB"/>
          </w:tcPr>
          <w:p>
            <w:pPr>
              <w:spacing w:after="0"/>
              <w:rPr>
                <w:sz w:val="18"/>
                <w:szCs w:val="18"/>
                <w:color w:val="auto"/>
              </w:rPr>
            </w:pPr>
          </w:p>
        </w:tc>
        <w:tc>
          <w:tcPr>
            <w:tcW w:w="1500" w:type="dxa"/>
            <w:vAlign w:val="bottom"/>
            <w:shd w:val="clear" w:color="auto" w:fill="D1D7EB"/>
          </w:tcPr>
          <w:p>
            <w:pPr>
              <w:spacing w:after="0"/>
              <w:rPr>
                <w:sz w:val="18"/>
                <w:szCs w:val="18"/>
                <w:color w:val="auto"/>
              </w:rPr>
            </w:pPr>
          </w:p>
        </w:tc>
        <w:tc>
          <w:tcPr>
            <w:tcW w:w="6760" w:type="dxa"/>
            <w:vAlign w:val="bottom"/>
            <w:tcBorders>
              <w:right w:val="single" w:sz="8" w:color="auto"/>
            </w:tcBorders>
            <w:shd w:val="clear" w:color="auto" w:fill="D1D7EB"/>
          </w:tcPr>
          <w:p>
            <w:pPr>
              <w:ind w:left="440"/>
              <w:spacing w:after="0"/>
              <w:rPr>
                <w:sz w:val="20"/>
                <w:szCs w:val="20"/>
                <w:color w:val="auto"/>
              </w:rPr>
            </w:pPr>
            <w:r>
              <w:rPr>
                <w:rFonts w:ascii="Arial" w:cs="Arial" w:eastAsia="Arial" w:hAnsi="Arial"/>
                <w:sz w:val="18"/>
                <w:szCs w:val="18"/>
                <w:color w:val="auto"/>
                <w:w w:val="94"/>
              </w:rPr>
              <w:t>litigation, cybersecurity and related information technology risks, and regulation and</w:t>
            </w:r>
          </w:p>
        </w:tc>
      </w:tr>
      <w:tr>
        <w:trPr>
          <w:trHeight w:val="222"/>
        </w:trPr>
        <w:tc>
          <w:tcPr>
            <w:tcW w:w="160" w:type="dxa"/>
            <w:vAlign w:val="bottom"/>
            <w:tcBorders>
              <w:left w:val="single" w:sz="8" w:color="auto"/>
              <w:right w:val="single" w:sz="8" w:color="D1D7EB"/>
            </w:tcBorders>
            <w:shd w:val="clear" w:color="auto" w:fill="D1D7EB"/>
          </w:tcPr>
          <w:p>
            <w:pPr>
              <w:spacing w:after="0"/>
              <w:rPr>
                <w:sz w:val="19"/>
                <w:szCs w:val="19"/>
                <w:color w:val="auto"/>
              </w:rPr>
            </w:pPr>
          </w:p>
        </w:tc>
        <w:tc>
          <w:tcPr>
            <w:tcW w:w="1500" w:type="dxa"/>
            <w:vAlign w:val="bottom"/>
            <w:shd w:val="clear" w:color="auto" w:fill="D1D7EB"/>
          </w:tcPr>
          <w:p>
            <w:pPr>
              <w:spacing w:after="0"/>
              <w:rPr>
                <w:sz w:val="19"/>
                <w:szCs w:val="19"/>
                <w:color w:val="auto"/>
              </w:rPr>
            </w:pPr>
          </w:p>
        </w:tc>
        <w:tc>
          <w:tcPr>
            <w:tcW w:w="6760" w:type="dxa"/>
            <w:vAlign w:val="bottom"/>
            <w:tcBorders>
              <w:right w:val="single" w:sz="8" w:color="auto"/>
            </w:tcBorders>
            <w:shd w:val="clear" w:color="auto" w:fill="D1D7EB"/>
          </w:tcPr>
          <w:p>
            <w:pPr>
              <w:ind w:left="440"/>
              <w:spacing w:after="0"/>
              <w:rPr>
                <w:sz w:val="20"/>
                <w:szCs w:val="20"/>
                <w:color w:val="auto"/>
              </w:rPr>
            </w:pPr>
            <w:r>
              <w:rPr>
                <w:rFonts w:ascii="Arial" w:cs="Arial" w:eastAsia="Arial" w:hAnsi="Arial"/>
                <w:sz w:val="18"/>
                <w:szCs w:val="18"/>
                <w:color w:val="auto"/>
              </w:rPr>
              <w:t>legal compliance; and</w:t>
            </w:r>
          </w:p>
        </w:tc>
      </w:tr>
      <w:tr>
        <w:trPr>
          <w:trHeight w:val="210"/>
        </w:trPr>
        <w:tc>
          <w:tcPr>
            <w:tcW w:w="160" w:type="dxa"/>
            <w:vAlign w:val="bottom"/>
            <w:tcBorders>
              <w:left w:val="single" w:sz="8" w:color="auto"/>
              <w:right w:val="single" w:sz="8" w:color="D1D7EB"/>
            </w:tcBorders>
            <w:shd w:val="clear" w:color="auto" w:fill="D1D7EB"/>
          </w:tcPr>
          <w:p>
            <w:pPr>
              <w:spacing w:after="0"/>
              <w:rPr>
                <w:sz w:val="18"/>
                <w:szCs w:val="18"/>
                <w:color w:val="auto"/>
              </w:rPr>
            </w:pPr>
          </w:p>
        </w:tc>
        <w:tc>
          <w:tcPr>
            <w:tcW w:w="1500" w:type="dxa"/>
            <w:vAlign w:val="bottom"/>
            <w:shd w:val="clear" w:color="auto" w:fill="D1D7EB"/>
          </w:tcPr>
          <w:p>
            <w:pPr>
              <w:spacing w:after="0"/>
              <w:rPr>
                <w:sz w:val="18"/>
                <w:szCs w:val="18"/>
                <w:color w:val="auto"/>
              </w:rPr>
            </w:pPr>
          </w:p>
        </w:tc>
        <w:tc>
          <w:tcPr>
            <w:tcW w:w="6760" w:type="dxa"/>
            <w:vAlign w:val="bottom"/>
            <w:tcBorders>
              <w:right w:val="single" w:sz="8" w:color="auto"/>
            </w:tcBorders>
            <w:shd w:val="clear" w:color="auto" w:fill="D1D7EB"/>
          </w:tcPr>
          <w:p>
            <w:pPr>
              <w:ind w:left="160"/>
              <w:spacing w:after="0"/>
              <w:rPr>
                <w:sz w:val="20"/>
                <w:szCs w:val="20"/>
                <w:color w:val="auto"/>
              </w:rPr>
            </w:pPr>
            <w:r>
              <w:rPr>
                <w:rFonts w:ascii="Arial" w:cs="Arial" w:eastAsia="Arial" w:hAnsi="Arial"/>
                <w:sz w:val="18"/>
                <w:szCs w:val="18"/>
                <w:color w:val="auto"/>
              </w:rPr>
              <w:t>•   Discusses the guidelines and policies that govern the process by which risk</w:t>
            </w:r>
          </w:p>
        </w:tc>
      </w:tr>
      <w:tr>
        <w:trPr>
          <w:trHeight w:val="216"/>
        </w:trPr>
        <w:tc>
          <w:tcPr>
            <w:tcW w:w="160" w:type="dxa"/>
            <w:vAlign w:val="bottom"/>
            <w:tcBorders>
              <w:left w:val="single" w:sz="8" w:color="auto"/>
              <w:right w:val="single" w:sz="8" w:color="D1D7EB"/>
            </w:tcBorders>
            <w:shd w:val="clear" w:color="auto" w:fill="D1D7EB"/>
          </w:tcPr>
          <w:p>
            <w:pPr>
              <w:spacing w:after="0"/>
              <w:rPr>
                <w:sz w:val="18"/>
                <w:szCs w:val="18"/>
                <w:color w:val="auto"/>
              </w:rPr>
            </w:pPr>
          </w:p>
        </w:tc>
        <w:tc>
          <w:tcPr>
            <w:tcW w:w="1500" w:type="dxa"/>
            <w:vAlign w:val="bottom"/>
            <w:shd w:val="clear" w:color="auto" w:fill="D1D7EB"/>
          </w:tcPr>
          <w:p>
            <w:pPr>
              <w:spacing w:after="0"/>
              <w:rPr>
                <w:sz w:val="18"/>
                <w:szCs w:val="18"/>
                <w:color w:val="auto"/>
              </w:rPr>
            </w:pPr>
          </w:p>
        </w:tc>
        <w:tc>
          <w:tcPr>
            <w:tcW w:w="6760" w:type="dxa"/>
            <w:vAlign w:val="bottom"/>
            <w:tcBorders>
              <w:right w:val="single" w:sz="8" w:color="auto"/>
            </w:tcBorders>
            <w:shd w:val="clear" w:color="auto" w:fill="D1D7EB"/>
          </w:tcPr>
          <w:p>
            <w:pPr>
              <w:ind w:left="440"/>
              <w:spacing w:after="0"/>
              <w:rPr>
                <w:sz w:val="20"/>
                <w:szCs w:val="20"/>
                <w:color w:val="auto"/>
              </w:rPr>
            </w:pPr>
            <w:r>
              <w:rPr>
                <w:rFonts w:ascii="Arial" w:cs="Arial" w:eastAsia="Arial" w:hAnsi="Arial"/>
                <w:sz w:val="18"/>
                <w:szCs w:val="18"/>
                <w:color w:val="auto"/>
                <w:w w:val="92"/>
              </w:rPr>
              <w:t>assessment and management is undertaken in accordance with its charter and NYSE</w:t>
            </w:r>
          </w:p>
        </w:tc>
      </w:tr>
      <w:tr>
        <w:trPr>
          <w:trHeight w:val="224"/>
        </w:trPr>
        <w:tc>
          <w:tcPr>
            <w:tcW w:w="160" w:type="dxa"/>
            <w:vAlign w:val="bottom"/>
            <w:tcBorders>
              <w:left w:val="single" w:sz="8" w:color="auto"/>
              <w:right w:val="single" w:sz="8" w:color="D1D7EB"/>
            </w:tcBorders>
            <w:shd w:val="clear" w:color="auto" w:fill="D1D7EB"/>
          </w:tcPr>
          <w:p>
            <w:pPr>
              <w:spacing w:after="0"/>
              <w:rPr>
                <w:sz w:val="19"/>
                <w:szCs w:val="19"/>
                <w:color w:val="auto"/>
              </w:rPr>
            </w:pPr>
          </w:p>
        </w:tc>
        <w:tc>
          <w:tcPr>
            <w:tcW w:w="1500" w:type="dxa"/>
            <w:vAlign w:val="bottom"/>
            <w:shd w:val="clear" w:color="auto" w:fill="D1D7EB"/>
          </w:tcPr>
          <w:p>
            <w:pPr>
              <w:spacing w:after="0"/>
              <w:rPr>
                <w:sz w:val="19"/>
                <w:szCs w:val="19"/>
                <w:color w:val="auto"/>
              </w:rPr>
            </w:pPr>
          </w:p>
        </w:tc>
        <w:tc>
          <w:tcPr>
            <w:tcW w:w="6760" w:type="dxa"/>
            <w:vAlign w:val="bottom"/>
            <w:tcBorders>
              <w:right w:val="single" w:sz="8" w:color="auto"/>
            </w:tcBorders>
            <w:shd w:val="clear" w:color="auto" w:fill="D1D7EB"/>
          </w:tcPr>
          <w:p>
            <w:pPr>
              <w:ind w:left="440"/>
              <w:spacing w:after="0"/>
              <w:rPr>
                <w:sz w:val="20"/>
                <w:szCs w:val="20"/>
                <w:color w:val="auto"/>
              </w:rPr>
            </w:pPr>
            <w:r>
              <w:rPr>
                <w:rFonts w:ascii="Arial" w:cs="Arial" w:eastAsia="Arial" w:hAnsi="Arial"/>
                <w:sz w:val="18"/>
                <w:szCs w:val="18"/>
                <w:color w:val="auto"/>
              </w:rPr>
              <w:t>rules.</w:t>
            </w:r>
          </w:p>
        </w:tc>
      </w:tr>
      <w:tr>
        <w:trPr>
          <w:trHeight w:val="216"/>
        </w:trPr>
        <w:tc>
          <w:tcPr>
            <w:tcW w:w="160" w:type="dxa"/>
            <w:vAlign w:val="bottom"/>
            <w:tcBorders>
              <w:left w:val="single" w:sz="8" w:color="auto"/>
            </w:tcBorders>
          </w:tcPr>
          <w:p>
            <w:pPr>
              <w:spacing w:after="0"/>
              <w:rPr>
                <w:sz w:val="18"/>
                <w:szCs w:val="18"/>
                <w:color w:val="auto"/>
              </w:rPr>
            </w:pPr>
          </w:p>
        </w:tc>
        <w:tc>
          <w:tcPr>
            <w:tcW w:w="150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67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   Considers risks associated with our compensation programs, policies and practices.</w:t>
            </w:r>
          </w:p>
        </w:tc>
      </w:tr>
      <w:tr>
        <w:trPr>
          <w:trHeight w:val="208"/>
        </w:trPr>
        <w:tc>
          <w:tcPr>
            <w:tcW w:w="160" w:type="dxa"/>
            <w:vAlign w:val="bottom"/>
            <w:tcBorders>
              <w:left w:val="single" w:sz="8" w:color="auto"/>
              <w:right w:val="single" w:sz="8" w:color="D1D7EB"/>
            </w:tcBorders>
            <w:shd w:val="clear" w:color="auto" w:fill="D1D7EB"/>
          </w:tcPr>
          <w:p>
            <w:pPr>
              <w:spacing w:after="0"/>
              <w:rPr>
                <w:sz w:val="18"/>
                <w:szCs w:val="18"/>
                <w:color w:val="auto"/>
              </w:rPr>
            </w:pPr>
          </w:p>
        </w:tc>
        <w:tc>
          <w:tcPr>
            <w:tcW w:w="1500" w:type="dxa"/>
            <w:vAlign w:val="bottom"/>
            <w:shd w:val="clear" w:color="auto" w:fill="D1D7EB"/>
          </w:tcPr>
          <w:p>
            <w:pPr>
              <w:ind w:left="160"/>
              <w:spacing w:after="0"/>
              <w:rPr>
                <w:sz w:val="20"/>
                <w:szCs w:val="20"/>
                <w:color w:val="auto"/>
              </w:rPr>
            </w:pPr>
            <w:r>
              <w:rPr>
                <w:rFonts w:ascii="Arial" w:cs="Arial" w:eastAsia="Arial" w:hAnsi="Arial"/>
                <w:sz w:val="18"/>
                <w:szCs w:val="18"/>
                <w:color w:val="auto"/>
              </w:rPr>
              <w:t>Governance</w:t>
            </w:r>
          </w:p>
        </w:tc>
        <w:tc>
          <w:tcPr>
            <w:tcW w:w="6760" w:type="dxa"/>
            <w:vAlign w:val="bottom"/>
            <w:tcBorders>
              <w:right w:val="single" w:sz="8" w:color="auto"/>
            </w:tcBorders>
            <w:shd w:val="clear" w:color="auto" w:fill="D1D7EB"/>
          </w:tcPr>
          <w:p>
            <w:pPr>
              <w:ind w:left="160"/>
              <w:spacing w:after="0"/>
              <w:rPr>
                <w:sz w:val="20"/>
                <w:szCs w:val="20"/>
                <w:color w:val="auto"/>
              </w:rPr>
            </w:pPr>
            <w:r>
              <w:rPr>
                <w:rFonts w:ascii="Arial" w:cs="Arial" w:eastAsia="Arial" w:hAnsi="Arial"/>
                <w:sz w:val="18"/>
                <w:szCs w:val="18"/>
                <w:color w:val="auto"/>
                <w:w w:val="97"/>
              </w:rPr>
              <w:t>•   In conjunction with the Compensation Committee, considers risks associated with</w:t>
            </w:r>
          </w:p>
        </w:tc>
      </w:tr>
      <w:tr>
        <w:trPr>
          <w:trHeight w:val="224"/>
        </w:trPr>
        <w:tc>
          <w:tcPr>
            <w:tcW w:w="160" w:type="dxa"/>
            <w:vAlign w:val="bottom"/>
            <w:tcBorders>
              <w:left w:val="single" w:sz="8" w:color="auto"/>
              <w:right w:val="single" w:sz="8" w:color="D1D7EB"/>
            </w:tcBorders>
            <w:shd w:val="clear" w:color="auto" w:fill="D1D7EB"/>
          </w:tcPr>
          <w:p>
            <w:pPr>
              <w:spacing w:after="0"/>
              <w:rPr>
                <w:sz w:val="19"/>
                <w:szCs w:val="19"/>
                <w:color w:val="auto"/>
              </w:rPr>
            </w:pPr>
          </w:p>
        </w:tc>
        <w:tc>
          <w:tcPr>
            <w:tcW w:w="1500" w:type="dxa"/>
            <w:vAlign w:val="bottom"/>
            <w:shd w:val="clear" w:color="auto" w:fill="D1D7EB"/>
          </w:tcPr>
          <w:p>
            <w:pPr>
              <w:spacing w:after="0"/>
              <w:rPr>
                <w:sz w:val="19"/>
                <w:szCs w:val="19"/>
                <w:color w:val="auto"/>
              </w:rPr>
            </w:pPr>
          </w:p>
        </w:tc>
        <w:tc>
          <w:tcPr>
            <w:tcW w:w="6760" w:type="dxa"/>
            <w:vAlign w:val="bottom"/>
            <w:tcBorders>
              <w:right w:val="single" w:sz="8" w:color="auto"/>
            </w:tcBorders>
            <w:shd w:val="clear" w:color="auto" w:fill="D1D7EB"/>
          </w:tcPr>
          <w:p>
            <w:pPr>
              <w:ind w:left="440"/>
              <w:spacing w:after="0"/>
              <w:rPr>
                <w:sz w:val="20"/>
                <w:szCs w:val="20"/>
                <w:color w:val="auto"/>
              </w:rPr>
            </w:pPr>
            <w:r>
              <w:rPr>
                <w:rFonts w:ascii="Arial" w:cs="Arial" w:eastAsia="Arial" w:hAnsi="Arial"/>
                <w:sz w:val="18"/>
                <w:szCs w:val="18"/>
                <w:color w:val="auto"/>
              </w:rPr>
              <w:t>management development and succession.</w:t>
            </w:r>
          </w:p>
        </w:tc>
      </w:tr>
      <w:tr>
        <w:trPr>
          <w:trHeight w:val="208"/>
        </w:trPr>
        <w:tc>
          <w:tcPr>
            <w:tcW w:w="160" w:type="dxa"/>
            <w:vAlign w:val="bottom"/>
            <w:tcBorders>
              <w:left w:val="single" w:sz="8" w:color="auto"/>
            </w:tcBorders>
          </w:tcPr>
          <w:p>
            <w:pPr>
              <w:spacing w:after="0"/>
              <w:rPr>
                <w:sz w:val="18"/>
                <w:szCs w:val="18"/>
                <w:color w:val="auto"/>
              </w:rPr>
            </w:pPr>
          </w:p>
        </w:tc>
        <w:tc>
          <w:tcPr>
            <w:tcW w:w="1500" w:type="dxa"/>
            <w:vAlign w:val="bottom"/>
          </w:tcPr>
          <w:p>
            <w:pPr>
              <w:ind w:left="160"/>
              <w:spacing w:after="0"/>
              <w:rPr>
                <w:sz w:val="20"/>
                <w:szCs w:val="20"/>
                <w:color w:val="auto"/>
              </w:rPr>
            </w:pPr>
            <w:r>
              <w:rPr>
                <w:rFonts w:ascii="Arial" w:cs="Arial" w:eastAsia="Arial" w:hAnsi="Arial"/>
                <w:sz w:val="18"/>
                <w:szCs w:val="18"/>
                <w:color w:val="auto"/>
              </w:rPr>
              <w:t>Sustainability &amp;</w:t>
            </w:r>
          </w:p>
        </w:tc>
        <w:tc>
          <w:tcPr>
            <w:tcW w:w="67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   Considers the risks and initiatives regarding our environmental, health and safety,</w:t>
            </w:r>
          </w:p>
        </w:tc>
      </w:tr>
      <w:tr>
        <w:trPr>
          <w:trHeight w:val="216"/>
        </w:trPr>
        <w:tc>
          <w:tcPr>
            <w:tcW w:w="160" w:type="dxa"/>
            <w:vAlign w:val="bottom"/>
            <w:tcBorders>
              <w:left w:val="single" w:sz="8" w:color="auto"/>
            </w:tcBorders>
          </w:tcPr>
          <w:p>
            <w:pPr>
              <w:spacing w:after="0"/>
              <w:rPr>
                <w:sz w:val="18"/>
                <w:szCs w:val="18"/>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67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sustainability, diversity and other social responsibility issues and impacts.</w:t>
            </w:r>
          </w:p>
        </w:tc>
      </w:tr>
      <w:tr>
        <w:trPr>
          <w:trHeight w:val="223"/>
        </w:trPr>
        <w:tc>
          <w:tcPr>
            <w:tcW w:w="160" w:type="dxa"/>
            <w:vAlign w:val="bottom"/>
            <w:tcBorders>
              <w:left w:val="single" w:sz="8" w:color="auto"/>
            </w:tcBorders>
          </w:tcPr>
          <w:p>
            <w:pPr>
              <w:spacing w:after="0"/>
              <w:rPr>
                <w:sz w:val="19"/>
                <w:szCs w:val="19"/>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Responsibility</w:t>
            </w:r>
          </w:p>
        </w:tc>
        <w:tc>
          <w:tcPr>
            <w:tcW w:w="6760" w:type="dxa"/>
            <w:vAlign w:val="bottom"/>
            <w:tcBorders>
              <w:right w:val="single" w:sz="8" w:color="auto"/>
            </w:tcBorders>
          </w:tcPr>
          <w:p>
            <w:pPr>
              <w:spacing w:after="0"/>
              <w:rPr>
                <w:sz w:val="19"/>
                <w:szCs w:val="19"/>
                <w:color w:val="auto"/>
              </w:rPr>
            </w:pPr>
          </w:p>
        </w:tc>
      </w:tr>
      <w:tr>
        <w:trPr>
          <w:trHeight w:val="209"/>
        </w:trPr>
        <w:tc>
          <w:tcPr>
            <w:tcW w:w="160" w:type="dxa"/>
            <w:vAlign w:val="bottom"/>
            <w:tcBorders>
              <w:left w:val="single" w:sz="8" w:color="auto"/>
              <w:right w:val="single" w:sz="8" w:color="D1D7EB"/>
            </w:tcBorders>
            <w:shd w:val="clear" w:color="auto" w:fill="D1D7EB"/>
          </w:tcPr>
          <w:p>
            <w:pPr>
              <w:spacing w:after="0"/>
              <w:rPr>
                <w:sz w:val="18"/>
                <w:szCs w:val="18"/>
                <w:color w:val="auto"/>
              </w:rPr>
            </w:pPr>
          </w:p>
        </w:tc>
        <w:tc>
          <w:tcPr>
            <w:tcW w:w="1500" w:type="dxa"/>
            <w:vAlign w:val="bottom"/>
            <w:shd w:val="clear" w:color="auto" w:fill="D1D7EB"/>
          </w:tcPr>
          <w:p>
            <w:pPr>
              <w:ind w:left="160"/>
              <w:spacing w:after="0"/>
              <w:rPr>
                <w:sz w:val="20"/>
                <w:szCs w:val="20"/>
                <w:color w:val="auto"/>
              </w:rPr>
            </w:pPr>
            <w:r>
              <w:rPr>
                <w:rFonts w:ascii="Arial" w:cs="Arial" w:eastAsia="Arial" w:hAnsi="Arial"/>
                <w:sz w:val="18"/>
                <w:szCs w:val="18"/>
                <w:color w:val="auto"/>
              </w:rPr>
              <w:t>Technology &amp;</w:t>
            </w:r>
          </w:p>
        </w:tc>
        <w:tc>
          <w:tcPr>
            <w:tcW w:w="6760" w:type="dxa"/>
            <w:vAlign w:val="bottom"/>
            <w:tcBorders>
              <w:right w:val="single" w:sz="8" w:color="auto"/>
            </w:tcBorders>
            <w:shd w:val="clear" w:color="auto" w:fill="D1D7EB"/>
          </w:tcPr>
          <w:p>
            <w:pPr>
              <w:ind w:left="160"/>
              <w:spacing w:after="0"/>
              <w:rPr>
                <w:sz w:val="20"/>
                <w:szCs w:val="20"/>
                <w:color w:val="auto"/>
              </w:rPr>
            </w:pPr>
            <w:r>
              <w:rPr>
                <w:rFonts w:ascii="Arial" w:cs="Arial" w:eastAsia="Arial" w:hAnsi="Arial"/>
                <w:sz w:val="18"/>
                <w:szCs w:val="18"/>
                <w:color w:val="auto"/>
                <w:w w:val="94"/>
              </w:rPr>
              <w:t>•   Considers risks related to technology and operations initiatives, including regulatory,</w:t>
            </w:r>
          </w:p>
        </w:tc>
      </w:tr>
      <w:tr>
        <w:trPr>
          <w:trHeight w:val="222"/>
        </w:trPr>
        <w:tc>
          <w:tcPr>
            <w:tcW w:w="160" w:type="dxa"/>
            <w:vAlign w:val="bottom"/>
            <w:tcBorders>
              <w:left w:val="single" w:sz="8" w:color="auto"/>
              <w:right w:val="single" w:sz="8" w:color="D1D7EB"/>
            </w:tcBorders>
            <w:shd w:val="clear" w:color="auto" w:fill="D1D7EB"/>
          </w:tcPr>
          <w:p>
            <w:pPr>
              <w:spacing w:after="0"/>
              <w:rPr>
                <w:sz w:val="19"/>
                <w:szCs w:val="19"/>
                <w:color w:val="auto"/>
              </w:rPr>
            </w:pPr>
          </w:p>
        </w:tc>
        <w:tc>
          <w:tcPr>
            <w:tcW w:w="1500" w:type="dxa"/>
            <w:vAlign w:val="bottom"/>
            <w:shd w:val="clear" w:color="auto" w:fill="D1D7EB"/>
          </w:tcPr>
          <w:p>
            <w:pPr>
              <w:ind w:left="340"/>
              <w:spacing w:after="0"/>
              <w:rPr>
                <w:sz w:val="20"/>
                <w:szCs w:val="20"/>
                <w:color w:val="auto"/>
              </w:rPr>
            </w:pPr>
            <w:r>
              <w:rPr>
                <w:rFonts w:ascii="Arial" w:cs="Arial" w:eastAsia="Arial" w:hAnsi="Arial"/>
                <w:sz w:val="18"/>
                <w:szCs w:val="18"/>
                <w:color w:val="auto"/>
              </w:rPr>
              <w:t>Operations</w:t>
            </w:r>
          </w:p>
        </w:tc>
        <w:tc>
          <w:tcPr>
            <w:tcW w:w="6760" w:type="dxa"/>
            <w:vAlign w:val="bottom"/>
            <w:tcBorders>
              <w:right w:val="single" w:sz="8" w:color="auto"/>
            </w:tcBorders>
            <w:shd w:val="clear" w:color="auto" w:fill="D1D7EB"/>
          </w:tcPr>
          <w:p>
            <w:pPr>
              <w:ind w:left="440"/>
              <w:spacing w:after="0"/>
              <w:rPr>
                <w:sz w:val="20"/>
                <w:szCs w:val="20"/>
                <w:color w:val="auto"/>
              </w:rPr>
            </w:pPr>
            <w:r>
              <w:rPr>
                <w:rFonts w:ascii="Arial" w:cs="Arial" w:eastAsia="Arial" w:hAnsi="Arial"/>
                <w:sz w:val="18"/>
                <w:szCs w:val="18"/>
                <w:color w:val="auto"/>
              </w:rPr>
              <w:t>environmental and other significant technology-related risks; and</w:t>
            </w:r>
          </w:p>
        </w:tc>
      </w:tr>
      <w:tr>
        <w:trPr>
          <w:trHeight w:val="210"/>
        </w:trPr>
        <w:tc>
          <w:tcPr>
            <w:tcW w:w="160" w:type="dxa"/>
            <w:vAlign w:val="bottom"/>
            <w:tcBorders>
              <w:left w:val="single" w:sz="8" w:color="auto"/>
              <w:right w:val="single" w:sz="8" w:color="D1D7EB"/>
            </w:tcBorders>
            <w:shd w:val="clear" w:color="auto" w:fill="D1D7EB"/>
          </w:tcPr>
          <w:p>
            <w:pPr>
              <w:spacing w:after="0"/>
              <w:rPr>
                <w:sz w:val="18"/>
                <w:szCs w:val="18"/>
                <w:color w:val="auto"/>
              </w:rPr>
            </w:pPr>
          </w:p>
        </w:tc>
        <w:tc>
          <w:tcPr>
            <w:tcW w:w="1500" w:type="dxa"/>
            <w:vAlign w:val="bottom"/>
            <w:shd w:val="clear" w:color="auto" w:fill="D1D7EB"/>
          </w:tcPr>
          <w:p>
            <w:pPr>
              <w:spacing w:after="0"/>
              <w:rPr>
                <w:sz w:val="18"/>
                <w:szCs w:val="18"/>
                <w:color w:val="auto"/>
              </w:rPr>
            </w:pPr>
          </w:p>
        </w:tc>
        <w:tc>
          <w:tcPr>
            <w:tcW w:w="6760" w:type="dxa"/>
            <w:vAlign w:val="bottom"/>
            <w:tcBorders>
              <w:right w:val="single" w:sz="8" w:color="auto"/>
            </w:tcBorders>
            <w:shd w:val="clear" w:color="auto" w:fill="D1D7EB"/>
          </w:tcPr>
          <w:p>
            <w:pPr>
              <w:ind w:left="160"/>
              <w:spacing w:after="0"/>
              <w:rPr>
                <w:sz w:val="20"/>
                <w:szCs w:val="20"/>
                <w:color w:val="auto"/>
              </w:rPr>
            </w:pPr>
            <w:r>
              <w:rPr>
                <w:rFonts w:ascii="Arial" w:cs="Arial" w:eastAsia="Arial" w:hAnsi="Arial"/>
                <w:sz w:val="18"/>
                <w:szCs w:val="18"/>
                <w:color w:val="auto"/>
                <w:w w:val="98"/>
              </w:rPr>
              <w:t>•   Consults with the Audit Committee regarding technology and operations systems</w:t>
            </w:r>
          </w:p>
        </w:tc>
      </w:tr>
      <w:tr>
        <w:trPr>
          <w:trHeight w:val="216"/>
        </w:trPr>
        <w:tc>
          <w:tcPr>
            <w:tcW w:w="160" w:type="dxa"/>
            <w:vAlign w:val="bottom"/>
            <w:tcBorders>
              <w:left w:val="single" w:sz="8" w:color="auto"/>
              <w:right w:val="single" w:sz="8" w:color="D1D7EB"/>
            </w:tcBorders>
            <w:shd w:val="clear" w:color="auto" w:fill="D1D7EB"/>
          </w:tcPr>
          <w:p>
            <w:pPr>
              <w:spacing w:after="0"/>
              <w:rPr>
                <w:sz w:val="18"/>
                <w:szCs w:val="18"/>
                <w:color w:val="auto"/>
              </w:rPr>
            </w:pPr>
          </w:p>
        </w:tc>
        <w:tc>
          <w:tcPr>
            <w:tcW w:w="1500" w:type="dxa"/>
            <w:vAlign w:val="bottom"/>
            <w:shd w:val="clear" w:color="auto" w:fill="D1D7EB"/>
          </w:tcPr>
          <w:p>
            <w:pPr>
              <w:spacing w:after="0"/>
              <w:rPr>
                <w:sz w:val="18"/>
                <w:szCs w:val="18"/>
                <w:color w:val="auto"/>
              </w:rPr>
            </w:pPr>
          </w:p>
        </w:tc>
        <w:tc>
          <w:tcPr>
            <w:tcW w:w="6760" w:type="dxa"/>
            <w:vAlign w:val="bottom"/>
            <w:tcBorders>
              <w:right w:val="single" w:sz="8" w:color="auto"/>
            </w:tcBorders>
            <w:shd w:val="clear" w:color="auto" w:fill="D1D7EB"/>
          </w:tcPr>
          <w:p>
            <w:pPr>
              <w:ind w:left="440"/>
              <w:spacing w:after="0"/>
              <w:rPr>
                <w:sz w:val="20"/>
                <w:szCs w:val="20"/>
                <w:color w:val="auto"/>
              </w:rPr>
            </w:pPr>
            <w:r>
              <w:rPr>
                <w:rFonts w:ascii="Arial" w:cs="Arial" w:eastAsia="Arial" w:hAnsi="Arial"/>
                <w:sz w:val="18"/>
                <w:szCs w:val="18"/>
                <w:color w:val="auto"/>
              </w:rPr>
              <w:t>and processes that relate to or affect our internal control systems, information</w:t>
            </w:r>
          </w:p>
        </w:tc>
      </w:tr>
      <w:tr>
        <w:trPr>
          <w:trHeight w:val="223"/>
        </w:trPr>
        <w:tc>
          <w:tcPr>
            <w:tcW w:w="160" w:type="dxa"/>
            <w:vAlign w:val="bottom"/>
            <w:tcBorders>
              <w:left w:val="single" w:sz="8" w:color="auto"/>
              <w:bottom w:val="single" w:sz="8" w:color="auto"/>
              <w:right w:val="single" w:sz="8" w:color="D1D7EB"/>
            </w:tcBorders>
            <w:shd w:val="clear" w:color="auto" w:fill="D1D7EB"/>
          </w:tcPr>
          <w:p>
            <w:pPr>
              <w:spacing w:after="0"/>
              <w:rPr>
                <w:sz w:val="19"/>
                <w:szCs w:val="19"/>
                <w:color w:val="auto"/>
              </w:rPr>
            </w:pPr>
          </w:p>
        </w:tc>
        <w:tc>
          <w:tcPr>
            <w:tcW w:w="1500" w:type="dxa"/>
            <w:vAlign w:val="bottom"/>
            <w:tcBorders>
              <w:bottom w:val="single" w:sz="8" w:color="auto"/>
            </w:tcBorders>
            <w:shd w:val="clear" w:color="auto" w:fill="D1D7EB"/>
          </w:tcPr>
          <w:p>
            <w:pPr>
              <w:spacing w:after="0"/>
              <w:rPr>
                <w:sz w:val="19"/>
                <w:szCs w:val="19"/>
                <w:color w:val="auto"/>
              </w:rPr>
            </w:pPr>
          </w:p>
        </w:tc>
        <w:tc>
          <w:tcPr>
            <w:tcW w:w="6760" w:type="dxa"/>
            <w:vAlign w:val="bottom"/>
            <w:tcBorders>
              <w:bottom w:val="single" w:sz="8" w:color="auto"/>
              <w:right w:val="single" w:sz="8" w:color="auto"/>
            </w:tcBorders>
            <w:shd w:val="clear" w:color="auto" w:fill="D1D7EB"/>
          </w:tcPr>
          <w:p>
            <w:pPr>
              <w:ind w:left="440"/>
              <w:spacing w:after="0"/>
              <w:rPr>
                <w:sz w:val="20"/>
                <w:szCs w:val="20"/>
                <w:color w:val="auto"/>
              </w:rPr>
            </w:pPr>
            <w:r>
              <w:rPr>
                <w:rFonts w:ascii="Arial" w:cs="Arial" w:eastAsia="Arial" w:hAnsi="Arial"/>
                <w:sz w:val="18"/>
                <w:szCs w:val="18"/>
                <w:color w:val="auto"/>
              </w:rPr>
              <w:t>security, fraud and cybersecurity risks.</w:t>
            </w:r>
          </w:p>
        </w:tc>
      </w:tr>
    </w:tbl>
    <w:p>
      <w:pPr>
        <w:spacing w:after="0" w:line="208" w:lineRule="exact"/>
        <w:rPr>
          <w:sz w:val="20"/>
          <w:szCs w:val="20"/>
          <w:color w:val="auto"/>
        </w:rPr>
      </w:pPr>
    </w:p>
    <w:p>
      <w:pPr>
        <w:ind w:right="60" w:firstLine="614"/>
        <w:spacing w:after="0" w:line="268" w:lineRule="auto"/>
        <w:rPr>
          <w:sz w:val="20"/>
          <w:szCs w:val="20"/>
          <w:color w:val="auto"/>
        </w:rPr>
      </w:pPr>
      <w:r>
        <w:rPr>
          <w:rFonts w:ascii="Arial" w:cs="Arial" w:eastAsia="Arial" w:hAnsi="Arial"/>
          <w:sz w:val="18"/>
          <w:szCs w:val="18"/>
          <w:color w:val="auto"/>
        </w:rPr>
        <w:t>Each committee also provides periodic reports to the Board on the risks pertaining to their principal areas of focus so that the Board is informed of our risk profile.</w:t>
      </w:r>
    </w:p>
    <w:p>
      <w:pPr>
        <w:spacing w:after="0" w:line="186" w:lineRule="exact"/>
        <w:rPr>
          <w:sz w:val="20"/>
          <w:szCs w:val="20"/>
          <w:color w:val="auto"/>
        </w:rPr>
      </w:pPr>
    </w:p>
    <w:p>
      <w:pPr>
        <w:ind w:right="560" w:firstLine="614"/>
        <w:spacing w:after="0" w:line="268" w:lineRule="auto"/>
        <w:rPr>
          <w:sz w:val="20"/>
          <w:szCs w:val="20"/>
          <w:color w:val="auto"/>
        </w:rPr>
      </w:pPr>
      <w:r>
        <w:rPr>
          <w:rFonts w:ascii="Arial" w:cs="Arial" w:eastAsia="Arial" w:hAnsi="Arial"/>
          <w:sz w:val="18"/>
          <w:szCs w:val="18"/>
          <w:color w:val="auto"/>
        </w:rPr>
        <w:t>Periodically, we also perform risk management assessments, both in specific areas of our business or on an enterprise wide basis. The principal purposes of these assessments are to:</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ensure that risk management efforts are focused and directly linked to the underlying strategy of the organization;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a sustainable and scalable framework to identify, manage and monitor risk;</w:t>
      </w:r>
    </w:p>
    <w:p>
      <w:pPr>
        <w:spacing w:after="0" w:line="219"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assign responsibility for each risk, put mitigation plans in place and assess the effectiveness of such mitigation plans;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enhance our risk management capabilities for priority risks and continue the development of risk management policies and action plans.</w:t>
      </w:r>
    </w:p>
    <w:p>
      <w:pPr>
        <w:spacing w:after="0" w:line="248" w:lineRule="exact"/>
        <w:rPr>
          <w:sz w:val="20"/>
          <w:szCs w:val="20"/>
          <w:color w:val="auto"/>
        </w:rPr>
      </w:pPr>
    </w:p>
    <w:p>
      <w:pPr>
        <w:ind w:right="60" w:firstLine="611"/>
        <w:spacing w:after="0" w:line="290" w:lineRule="auto"/>
        <w:rPr>
          <w:sz w:val="20"/>
          <w:szCs w:val="20"/>
          <w:color w:val="auto"/>
        </w:rPr>
      </w:pPr>
      <w:r>
        <w:rPr>
          <w:rFonts w:ascii="Arial" w:cs="Arial" w:eastAsia="Arial" w:hAnsi="Arial"/>
          <w:sz w:val="16"/>
          <w:szCs w:val="16"/>
          <w:color w:val="auto"/>
        </w:rPr>
        <w:t>The results of these risk assessments are regularly communicated to the Board. In addition, each year management conducts, and the Compensation Committee oversees, a risk assessment of our compensation policies and practices with respect to all employees, including NEOs. The employee population is segmented into groups based on commonalities across their reward programs. Each program is then evaluated using the key design features of the program and the applicable risk mitigation features that exist in such programs. Once the assessment is completed, management reviews the assessment data, methodology and findings with the Compensation Committee. A key goal of this process is to ensure that there are controls in place to (i) safeguard us from unwarranted exposure to particular risks that individual employees might choose to take and (ii) avoid any inadvertent incentives for employees to take inappropriate business risks by making decisions that may be in their best interests but not in the best interests of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Code of Conduct</w:t>
      </w:r>
    </w:p>
    <w:p>
      <w:pPr>
        <w:spacing w:after="0" w:line="231" w:lineRule="exact"/>
        <w:rPr>
          <w:sz w:val="20"/>
          <w:szCs w:val="20"/>
          <w:color w:val="auto"/>
        </w:rPr>
      </w:pPr>
    </w:p>
    <w:p>
      <w:pPr>
        <w:ind w:right="20" w:firstLine="605"/>
        <w:spacing w:after="0" w:line="290" w:lineRule="auto"/>
        <w:rPr>
          <w:sz w:val="20"/>
          <w:szCs w:val="20"/>
          <w:color w:val="auto"/>
        </w:rPr>
      </w:pPr>
      <w:r>
        <w:rPr>
          <w:rFonts w:ascii="Arial" w:cs="Arial" w:eastAsia="Arial" w:hAnsi="Arial"/>
          <w:sz w:val="16"/>
          <w:szCs w:val="16"/>
          <w:color w:val="auto"/>
        </w:rPr>
        <w:t>All of our employees, officers (including our principal executive, financial and accounting officers) and directors are held accountable for adherence to our Code of Conduct. Our Code of Conduct is designed to help us meet our responsibility of conducting our business in compliance with laws and good ethical practice. Our Code of Conduct is available in multiple languages on our website at www.wfscorp.com, either by clicking on About Us and then Ethics &amp; Compliance, or by clicking on Investor Relations and then Corporate Governance. We intend to disclose any substantive amendments to our Code of Conduct and any waivers with respect to our Code of Conduct granted to our principal executive, financial and accounting officers on our website at www.wfscorp.com. We have also established a separate Business Partner Code of Conduct outlining our standards and expectations of our suppliers and other business partners, which can also be found in the Investor Relations section of our website at www.wfscorp.com.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Review and Approval of Related Person Transactions</w:t>
      </w:r>
    </w:p>
    <w:p>
      <w:pPr>
        <w:spacing w:after="0" w:line="231" w:lineRule="exact"/>
        <w:rPr>
          <w:sz w:val="20"/>
          <w:szCs w:val="20"/>
          <w:color w:val="auto"/>
        </w:rPr>
      </w:pPr>
    </w:p>
    <w:p>
      <w:pPr>
        <w:ind w:firstLine="614"/>
        <w:spacing w:after="0" w:line="254" w:lineRule="auto"/>
        <w:rPr>
          <w:sz w:val="20"/>
          <w:szCs w:val="20"/>
          <w:color w:val="auto"/>
        </w:rPr>
      </w:pPr>
      <w:r>
        <w:rPr>
          <w:rFonts w:ascii="Arial" w:cs="Arial" w:eastAsia="Arial" w:hAnsi="Arial"/>
          <w:sz w:val="18"/>
          <w:szCs w:val="18"/>
          <w:color w:val="auto"/>
        </w:rPr>
        <w:t>Related person transactions can create actual or potential conflicts of interests and can create the appearance that certain decisions may not be in the best interest of us or our shareholders. Therefore, our Board has adopted a written policy with respect to related person transactions. It is our policy that, as a general matter, we should avoid related person transactions except in circumstances where the transaction is consistent with our best interests, such as obtaining products or services that are not readily available from alternative sources or when the transaction meets the standards that apply to similar transactions with unrelated third parties.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purposes of our policy, we review all of the following relationships and transactions between us and:</w:t>
      </w:r>
    </w:p>
    <w:p>
      <w:pPr>
        <w:spacing w:after="0" w:line="239" w:lineRule="exact"/>
        <w:rPr>
          <w:sz w:val="20"/>
          <w:szCs w:val="20"/>
          <w:color w:val="auto"/>
        </w:rPr>
      </w:pPr>
    </w:p>
    <w:p>
      <w:pPr>
        <w:ind w:left="1080" w:right="2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directors and executive officers, including persons who have at any time since the beginning of our last fiscal year served in that role and any nominees to become a director;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person we know to be the beneficial owner of more than 5% of any class of our voting securities;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immediate family member or any person (other than tenants or employees) sharing the household of any of the foregoing.</w:t>
      </w:r>
    </w:p>
    <w:p>
      <w:pPr>
        <w:spacing w:after="0" w:line="219"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14"/>
        <w:spacing w:after="0" w:line="284" w:lineRule="auto"/>
        <w:rPr>
          <w:sz w:val="20"/>
          <w:szCs w:val="20"/>
          <w:color w:val="auto"/>
        </w:rPr>
      </w:pPr>
      <w:r>
        <w:rPr>
          <w:rFonts w:ascii="Arial" w:cs="Arial" w:eastAsia="Arial" w:hAnsi="Arial"/>
          <w:sz w:val="16"/>
          <w:szCs w:val="16"/>
          <w:color w:val="auto"/>
        </w:rPr>
        <w:t xml:space="preserve">Pursuant to our policy, the Governance Committee will review any transaction, arrangement or relationship (including any indebtedness or guarantee of indebtedness) or any series of similar transactions, arrangements or relationships in which we (including any of our subsidiaries) were, are or will be a participant and the amount involved exceeds $120,000, and in which any related person had, has or will have a direct or indirect material interest. The foregoing rule will not be applied to those transactions exempt under Item 404(a) of Regulation S-K, such as the employment of an executive officer or compensation of a director if such executive officer's or director's compensation is required to be, or otherwise would be required to be, reported under the SEC's compensation disclosure requirements, any transaction with another entity where the related person's only relationship is as a beneficial owner of less than 1% of that corporation's publicly traded securities, or any transaction where the related person's interest arises solely from the ownership of our common stock and where all shareholders received the same benefit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(e.g. dividends). In addition, the Governance Committee has determined that the following types of transactions, which involve ordinary course business transactions shall not be deemed to create or involve a direct or indirect "material" interest for a Related Person, even if the aggregate amount involved exceeds $120,000: (1) a transaction in which the related person's interests arises solely based on his or her position as an employee or executive officer of the other entity and (i) the related person was not involved in the transaction, (ii) the transaction was entered into in our ordinary course of business and on substantially the same terms as those prevailing at the time for comparable transactions with non-affiliated persons, and (iii) the transaction does not involve the greater of $500,000 or 2% of the recipient's total annual revenues and (2) any charitable contributions if the related person's interest arises only from (i) the person's or the person's immediate family member's position as an employee (other than an executive officer) or other position that does not involve policy-making decisions or (ii) the person's or person' immediate family member's position as an executive officer or director and the aggregate amount involved does not exceed the lesser of $1,000,000 or 2% of the charitable organization's total annual receipts.</w:t>
      </w:r>
    </w:p>
    <w:p>
      <w:pPr>
        <w:spacing w:after="0" w:line="187" w:lineRule="exact"/>
        <w:rPr>
          <w:sz w:val="20"/>
          <w:szCs w:val="20"/>
          <w:color w:val="auto"/>
        </w:rPr>
      </w:pPr>
    </w:p>
    <w:p>
      <w:pPr>
        <w:ind w:right="120" w:firstLine="614"/>
        <w:spacing w:after="0" w:line="298" w:lineRule="auto"/>
        <w:rPr>
          <w:sz w:val="20"/>
          <w:szCs w:val="20"/>
          <w:color w:val="auto"/>
        </w:rPr>
      </w:pPr>
      <w:r>
        <w:rPr>
          <w:rFonts w:ascii="Arial" w:cs="Arial" w:eastAsia="Arial" w:hAnsi="Arial"/>
          <w:sz w:val="16"/>
          <w:szCs w:val="16"/>
          <w:color w:val="auto"/>
        </w:rPr>
        <w:t>If the Chairman of the Governance Committee determines that a proposed transaction is a related person transaction, it will submit the proposed transaction to the Governance Committee for approval. The Governance Committee reviews any related person transactions that are not among the types described above, and determines whether to approve or ratify any such transaction. The Governance Committee will analyze the following factors, in addition to any other factors the Governance Committee deems appropriate, in determining whether to approve a related person transaction:</w:t>
      </w:r>
    </w:p>
    <w:p>
      <w:pPr>
        <w:spacing w:after="0" w:line="180"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benefits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on a director's independence, if relevant;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available to unrelated third parties or to employees generally.</w:t>
      </w:r>
    </w:p>
    <w:p>
      <w:pPr>
        <w:spacing w:after="0" w:line="225" w:lineRule="exact"/>
        <w:rPr>
          <w:sz w:val="20"/>
          <w:szCs w:val="20"/>
          <w:color w:val="auto"/>
        </w:rPr>
      </w:pPr>
    </w:p>
    <w:p>
      <w:pPr>
        <w:ind w:right="380" w:firstLine="611"/>
        <w:spacing w:after="0" w:line="323" w:lineRule="auto"/>
        <w:rPr>
          <w:sz w:val="20"/>
          <w:szCs w:val="20"/>
          <w:color w:val="auto"/>
        </w:rPr>
      </w:pPr>
      <w:r>
        <w:rPr>
          <w:rFonts w:ascii="Arial" w:cs="Arial" w:eastAsia="Arial" w:hAnsi="Arial"/>
          <w:sz w:val="15"/>
          <w:szCs w:val="15"/>
          <w:color w:val="auto"/>
        </w:rPr>
        <w:t>The Governance Committee will only approve or ratify related person transactions that are consistent with our best interests and those of our shareholders. The Governance Committee's approval is not a directive to enter into the related person transaction, rather it is evidence that the Governance Committee does not object to the transaction based on relatedness issues. The Governance Committee will regularly review any ongoing related person transactions to determine whether it remains in our best interests and those of our shareholders to continue, modify or terminate the transactions.</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There were no reportable transactions in 2019.</w:t>
      </w:r>
    </w:p>
    <w:p>
      <w:pPr>
        <w:spacing w:after="0" w:line="219"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Director Compensation and Ownership Guidelines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Director Fees Earned or Paid in Cash</w:t>
      </w:r>
    </w:p>
    <w:p>
      <w:pPr>
        <w:spacing w:after="0" w:line="225" w:lineRule="exact"/>
        <w:rPr>
          <w:sz w:val="20"/>
          <w:szCs w:val="20"/>
          <w:color w:val="auto"/>
        </w:rPr>
      </w:pPr>
    </w:p>
    <w:p>
      <w:pPr>
        <w:ind w:right="40" w:firstLine="614"/>
        <w:spacing w:after="0" w:line="259" w:lineRule="auto"/>
        <w:rPr>
          <w:sz w:val="20"/>
          <w:szCs w:val="20"/>
          <w:color w:val="auto"/>
        </w:rPr>
      </w:pPr>
      <w:r>
        <w:rPr>
          <w:rFonts w:ascii="Arial" w:cs="Arial" w:eastAsia="Arial" w:hAnsi="Arial"/>
          <w:sz w:val="18"/>
          <w:szCs w:val="18"/>
          <w:color w:val="auto"/>
        </w:rPr>
        <w:t>Non-management directors earn fees for their services that are paid in cash on an annual basis. If a non-management director does not serve a full year in a position, such fees are paid on a pro-rated basis. The current fee structure for our non-management directors serving during the 2019-2020 term is as follows:</w:t>
      </w:r>
    </w:p>
    <w:p>
      <w:pPr>
        <w:spacing w:after="0" w:line="207"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annual fee payable to non-management directors for their service on the Board is $85,000;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additional fee payable to the lead independent director is $40,000 per year;</w:t>
      </w:r>
    </w:p>
    <w:p>
      <w:pPr>
        <w:spacing w:after="0" w:line="238"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additional fee payable to members of the Audit Committee is $15,000, while the additional fee payable to members of each of the Compensation Committee and Technology &amp; Operations Committee is $10,000 per year for each committee served and the additional fee payable to members of the Sustainability and Corporate Responsibility Committee as well as the Nominating Subcommittee is $5,000 per year for each committee served; and</w:t>
      </w:r>
    </w:p>
    <w:p>
      <w:pPr>
        <w:spacing w:after="0" w:line="210" w:lineRule="exact"/>
        <w:rPr>
          <w:rFonts w:ascii="Arial" w:cs="Arial" w:eastAsia="Arial" w:hAnsi="Arial"/>
          <w:sz w:val="18"/>
          <w:szCs w:val="18"/>
          <w:color w:val="auto"/>
        </w:rPr>
      </w:pPr>
    </w:p>
    <w:p>
      <w:pPr>
        <w:ind w:left="1080" w:right="600" w:hanging="532"/>
        <w:spacing w:after="0" w:line="298"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additional fee payable to the Chair of the Audit Committee is $35,000 per year, the additional fee payable to the Chair of each of the Compensation Committee and Technology &amp; Operations Committee is $30,000 per year, the additional fee payable to the Chair of the Governance Committee is $20,000 per year and the additional fee payable to the Chair of each of the Sustainability and Corporate Responsibility Committee and the Nominating Subcommittee is $15,000 per year.</w:t>
      </w:r>
    </w:p>
    <w:p>
      <w:pPr>
        <w:spacing w:after="0" w:line="166" w:lineRule="exact"/>
        <w:rPr>
          <w:sz w:val="20"/>
          <w:szCs w:val="20"/>
          <w:color w:val="auto"/>
        </w:rPr>
      </w:pPr>
    </w:p>
    <w:p>
      <w:pPr>
        <w:ind w:right="320" w:firstLine="614"/>
        <w:spacing w:after="0" w:line="268" w:lineRule="auto"/>
        <w:rPr>
          <w:sz w:val="20"/>
          <w:szCs w:val="20"/>
          <w:color w:val="auto"/>
        </w:rPr>
      </w:pPr>
      <w:r>
        <w:rPr>
          <w:rFonts w:ascii="Arial" w:cs="Arial" w:eastAsia="Arial" w:hAnsi="Arial"/>
          <w:sz w:val="18"/>
          <w:szCs w:val="18"/>
          <w:color w:val="auto"/>
        </w:rPr>
        <w:t>Our non-management directors are also reimbursed by us for their travel, food, lodging and related expenses incurred in connection with attending Board, committee and shareholder meetings, as well as continuing education programs.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Equity Awards</w:t>
      </w:r>
    </w:p>
    <w:p>
      <w:pPr>
        <w:spacing w:after="0" w:line="225" w:lineRule="exact"/>
        <w:rPr>
          <w:sz w:val="20"/>
          <w:szCs w:val="20"/>
          <w:color w:val="auto"/>
        </w:rPr>
      </w:pPr>
    </w:p>
    <w:p>
      <w:pPr>
        <w:ind w:right="80" w:firstLine="614"/>
        <w:spacing w:after="0" w:line="290" w:lineRule="auto"/>
        <w:rPr>
          <w:sz w:val="20"/>
          <w:szCs w:val="20"/>
          <w:color w:val="auto"/>
        </w:rPr>
      </w:pPr>
      <w:r>
        <w:rPr>
          <w:rFonts w:ascii="Arial" w:cs="Arial" w:eastAsia="Arial" w:hAnsi="Arial"/>
          <w:sz w:val="16"/>
          <w:szCs w:val="16"/>
          <w:color w:val="auto"/>
        </w:rPr>
        <w:t>In 2019, the Board granted each non-management director $150,000 worth of restricted stock units ("RSUs") for board service and to each member of the Governance Committee, an additional $10,000 in RSUs as the fee for service on the committee. This resulted in each non-management director (other than Mr. Stebbins) receiving 5,321 RSUs and Mr. Stebbins, who does not serve on the Governance Committee, receiving 4,989 RSUs. In addition, beginning in May 2019, the Chair of each Committee was also granted $5,000 in RSUs as a portion of their fee for serving as Chair, provided, however, that where a director served as Chair of more than one committee, only one additional $5,000 equity grant was made. This resulted in each of Messrs. Bakshi, Benitez, Manley and Roddenberry receiving an additional 167 RSUs. As described in greater detail above, although Messrs. Bakshi and Benitez serve as Chair of two committees, they only received one equity grant for such service.</w:t>
      </w:r>
    </w:p>
    <w:p>
      <w:pPr>
        <w:spacing w:after="0" w:line="172" w:lineRule="exact"/>
        <w:rPr>
          <w:sz w:val="20"/>
          <w:szCs w:val="20"/>
          <w:color w:val="auto"/>
        </w:rPr>
      </w:pPr>
    </w:p>
    <w:p>
      <w:pPr>
        <w:ind w:right="400" w:firstLine="611"/>
        <w:spacing w:after="0" w:line="268" w:lineRule="auto"/>
        <w:rPr>
          <w:sz w:val="20"/>
          <w:szCs w:val="20"/>
          <w:color w:val="auto"/>
        </w:rPr>
      </w:pPr>
      <w:r>
        <w:rPr>
          <w:rFonts w:ascii="Arial" w:cs="Arial" w:eastAsia="Arial" w:hAnsi="Arial"/>
          <w:sz w:val="18"/>
          <w:szCs w:val="18"/>
          <w:color w:val="auto"/>
        </w:rPr>
        <w:t>The RSUs vest on the earlier of: (i) the day prior to the Annual Meeting that next follows the grant date or (ii) one year from the grant date. Upon vesting of the RSUs, 100% of the underlying shares will be issued.</w:t>
      </w:r>
    </w:p>
    <w:p>
      <w:pPr>
        <w:spacing w:after="0" w:line="186" w:lineRule="exact"/>
        <w:rPr>
          <w:sz w:val="20"/>
          <w:szCs w:val="20"/>
          <w:color w:val="auto"/>
        </w:rPr>
      </w:pPr>
    </w:p>
    <w:p>
      <w:pPr>
        <w:jc w:val="both"/>
        <w:ind w:right="700" w:firstLine="614"/>
        <w:spacing w:after="0" w:line="252" w:lineRule="auto"/>
        <w:rPr>
          <w:sz w:val="20"/>
          <w:szCs w:val="20"/>
          <w:color w:val="auto"/>
        </w:rPr>
      </w:pPr>
      <w:r>
        <w:rPr>
          <w:rFonts w:ascii="Arial" w:cs="Arial" w:eastAsia="Arial" w:hAnsi="Arial"/>
          <w:sz w:val="18"/>
          <w:szCs w:val="18"/>
          <w:color w:val="auto"/>
        </w:rPr>
        <w:t>Our 2016 Omnibus Plan includes limits on equity awards that may be granted to non-management directors. The table below summarizes the compensation paid by us to our non-management directors for services rendered in 2019. Directors who are employed by us do not receive additional compensation for serving as directors.</w:t>
      </w:r>
    </w:p>
    <w:p>
      <w:pPr>
        <w:spacing w:after="0" w:line="2"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2019 Director Compensation Table</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7"/>
              </w:rPr>
              <w:t>Fees</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Earned or</w:t>
            </w:r>
          </w:p>
        </w:tc>
        <w:tc>
          <w:tcPr>
            <w:tcW w:w="1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2"/>
                <w:szCs w:val="22"/>
                <w:b w:val="1"/>
                <w:bCs w:val="1"/>
                <w:color w:val="auto"/>
                <w:vertAlign w:val="superscript"/>
              </w:rPr>
              <w:t>(1)</w:t>
            </w:r>
          </w:p>
        </w:tc>
        <w:tc>
          <w:tcPr>
            <w:tcW w:w="16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8"/>
              </w:rPr>
              <w:t>Paid in</w:t>
            </w: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560" w:type="dxa"/>
            <w:vAlign w:val="bottom"/>
            <w:tcBorders>
              <w:bottom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Cash</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2"/>
              </w:rPr>
              <w:t>Awards</w:t>
            </w:r>
            <w:r>
              <w:rPr>
                <w:rFonts w:ascii="Arial" w:cs="Arial" w:eastAsia="Arial" w:hAnsi="Arial"/>
                <w:sz w:val="20"/>
                <w:szCs w:val="20"/>
                <w:b w:val="1"/>
                <w:bCs w:val="1"/>
                <w:color w:val="auto"/>
                <w:w w:val="92"/>
                <w:vertAlign w:val="superscript"/>
              </w:rPr>
              <w:t>(2)(3)</w:t>
            </w:r>
          </w:p>
        </w:tc>
        <w:tc>
          <w:tcPr>
            <w:tcW w:w="160" w:type="dxa"/>
            <w:vAlign w:val="bottom"/>
          </w:tcPr>
          <w:p>
            <w:pPr>
              <w:spacing w:after="0"/>
              <w:rPr>
                <w:sz w:val="15"/>
                <w:szCs w:val="15"/>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 Bakshi</w:t>
            </w:r>
          </w:p>
        </w:tc>
        <w:tc>
          <w:tcPr>
            <w:tcW w:w="11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$145,000</w:t>
            </w:r>
          </w:p>
        </w:tc>
        <w:tc>
          <w:tcPr>
            <w:tcW w:w="12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$165,024</w:t>
            </w:r>
          </w:p>
        </w:tc>
        <w:tc>
          <w:tcPr>
            <w:tcW w:w="10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$310,024</w:t>
            </w:r>
          </w:p>
        </w:tc>
        <w:tc>
          <w:tcPr>
            <w:tcW w:w="0" w:type="dxa"/>
            <w:vAlign w:val="bottom"/>
          </w:tcPr>
          <w:p>
            <w:pPr>
              <w:spacing w:after="0"/>
              <w:rPr>
                <w:sz w:val="1"/>
                <w:szCs w:val="1"/>
                <w:color w:val="auto"/>
              </w:rPr>
            </w:pPr>
          </w:p>
        </w:tc>
      </w:tr>
      <w:tr>
        <w:trPr>
          <w:trHeight w:val="431"/>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Jorge L. Benitez</w:t>
            </w:r>
          </w:p>
        </w:tc>
        <w:tc>
          <w:tcPr>
            <w:tcW w:w="11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128,333</w:t>
            </w:r>
          </w:p>
        </w:tc>
        <w:tc>
          <w:tcPr>
            <w:tcW w:w="12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165,024</w:t>
            </w:r>
          </w:p>
        </w:tc>
        <w:tc>
          <w:tcPr>
            <w:tcW w:w="10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293,357</w:t>
            </w:r>
          </w:p>
        </w:tc>
        <w:tc>
          <w:tcPr>
            <w:tcW w:w="0" w:type="dxa"/>
            <w:vAlign w:val="bottom"/>
          </w:tcPr>
          <w:p>
            <w:pPr>
              <w:spacing w:after="0"/>
              <w:rPr>
                <w:sz w:val="1"/>
                <w:szCs w:val="1"/>
                <w:color w:val="auto"/>
              </w:rPr>
            </w:pPr>
          </w:p>
        </w:tc>
      </w:tr>
      <w:tr>
        <w:trPr>
          <w:trHeight w:val="43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Stephen J. Gold</w:t>
            </w:r>
          </w:p>
        </w:tc>
        <w:tc>
          <w:tcPr>
            <w:tcW w:w="11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90,833</w:t>
            </w:r>
          </w:p>
        </w:tc>
        <w:tc>
          <w:tcPr>
            <w:tcW w:w="12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160,002</w:t>
            </w:r>
          </w:p>
        </w:tc>
        <w:tc>
          <w:tcPr>
            <w:tcW w:w="10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250,836</w:t>
            </w:r>
          </w:p>
        </w:tc>
        <w:tc>
          <w:tcPr>
            <w:tcW w:w="0" w:type="dxa"/>
            <w:vAlign w:val="bottom"/>
          </w:tcPr>
          <w:p>
            <w:pPr>
              <w:spacing w:after="0"/>
              <w:rPr>
                <w:sz w:val="1"/>
                <w:szCs w:val="1"/>
                <w:color w:val="auto"/>
              </w:rPr>
            </w:pPr>
          </w:p>
        </w:tc>
      </w:tr>
      <w:tr>
        <w:trPr>
          <w:trHeight w:val="431"/>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Richard A. Kassar</w:t>
            </w:r>
          </w:p>
        </w:tc>
        <w:tc>
          <w:tcPr>
            <w:tcW w:w="11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114,583</w:t>
            </w:r>
          </w:p>
        </w:tc>
        <w:tc>
          <w:tcPr>
            <w:tcW w:w="12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160,002</w:t>
            </w:r>
          </w:p>
        </w:tc>
        <w:tc>
          <w:tcPr>
            <w:tcW w:w="10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274,586</w:t>
            </w:r>
          </w:p>
        </w:tc>
        <w:tc>
          <w:tcPr>
            <w:tcW w:w="0" w:type="dxa"/>
            <w:vAlign w:val="bottom"/>
          </w:tcPr>
          <w:p>
            <w:pPr>
              <w:spacing w:after="0"/>
              <w:rPr>
                <w:sz w:val="1"/>
                <w:szCs w:val="1"/>
                <w:color w:val="auto"/>
              </w:rPr>
            </w:pPr>
          </w:p>
        </w:tc>
      </w:tr>
      <w:tr>
        <w:trPr>
          <w:trHeight w:val="43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L. Manley</w:t>
            </w:r>
          </w:p>
        </w:tc>
        <w:tc>
          <w:tcPr>
            <w:tcW w:w="11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133,333</w:t>
            </w:r>
          </w:p>
        </w:tc>
        <w:tc>
          <w:tcPr>
            <w:tcW w:w="12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165,024</w:t>
            </w:r>
          </w:p>
        </w:tc>
        <w:tc>
          <w:tcPr>
            <w:tcW w:w="10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298,357</w:t>
            </w:r>
          </w:p>
        </w:tc>
        <w:tc>
          <w:tcPr>
            <w:tcW w:w="0" w:type="dxa"/>
            <w:vAlign w:val="bottom"/>
          </w:tcPr>
          <w:p>
            <w:pPr>
              <w:spacing w:after="0"/>
              <w:rPr>
                <w:sz w:val="1"/>
                <w:szCs w:val="1"/>
                <w:color w:val="auto"/>
              </w:rPr>
            </w:pPr>
          </w:p>
        </w:tc>
      </w:tr>
      <w:tr>
        <w:trPr>
          <w:trHeight w:val="47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J. Thomas Presby</w:t>
            </w:r>
            <w:r>
              <w:rPr>
                <w:rFonts w:ascii="Arial" w:cs="Arial" w:eastAsia="Arial" w:hAnsi="Arial"/>
                <w:sz w:val="29"/>
                <w:szCs w:val="29"/>
                <w:color w:val="auto"/>
                <w:vertAlign w:val="superscript"/>
              </w:rPr>
              <w:t>(4)</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37,917</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37,917</w:t>
            </w:r>
          </w:p>
        </w:tc>
        <w:tc>
          <w:tcPr>
            <w:tcW w:w="0" w:type="dxa"/>
            <w:vAlign w:val="bottom"/>
          </w:tcPr>
          <w:p>
            <w:pPr>
              <w:spacing w:after="0"/>
              <w:rPr>
                <w:sz w:val="1"/>
                <w:szCs w:val="1"/>
                <w:color w:val="auto"/>
              </w:rPr>
            </w:pPr>
          </w:p>
        </w:tc>
      </w:tr>
      <w:tr>
        <w:trPr>
          <w:trHeight w:val="432"/>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Stephen K. Roddenberry</w:t>
            </w:r>
          </w:p>
        </w:tc>
        <w:tc>
          <w:tcPr>
            <w:tcW w:w="11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148,750</w:t>
            </w:r>
          </w:p>
        </w:tc>
        <w:tc>
          <w:tcPr>
            <w:tcW w:w="12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165,024</w:t>
            </w:r>
          </w:p>
        </w:tc>
        <w:tc>
          <w:tcPr>
            <w:tcW w:w="10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313,774</w:t>
            </w:r>
          </w:p>
        </w:tc>
        <w:tc>
          <w:tcPr>
            <w:tcW w:w="0" w:type="dxa"/>
            <w:vAlign w:val="bottom"/>
          </w:tcPr>
          <w:p>
            <w:pPr>
              <w:spacing w:after="0"/>
              <w:rPr>
                <w:sz w:val="1"/>
                <w:szCs w:val="1"/>
                <w:color w:val="auto"/>
              </w:rPr>
            </w:pPr>
          </w:p>
        </w:tc>
      </w:tr>
      <w:tr>
        <w:trPr>
          <w:trHeight w:val="4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Paul H. Stebbins</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80,833</w:t>
            </w:r>
          </w:p>
        </w:tc>
        <w:tc>
          <w:tcPr>
            <w:tcW w:w="12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150,019</w:t>
            </w:r>
          </w:p>
        </w:tc>
        <w:tc>
          <w:tcPr>
            <w:tcW w:w="10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230,853</w:t>
            </w:r>
          </w:p>
        </w:tc>
        <w:tc>
          <w:tcPr>
            <w:tcW w:w="0" w:type="dxa"/>
            <w:vAlign w:val="bottom"/>
          </w:tcPr>
          <w:p>
            <w:pPr>
              <w:spacing w:after="0"/>
              <w:rPr>
                <w:sz w:val="1"/>
                <w:szCs w:val="1"/>
                <w:color w:val="auto"/>
              </w:rPr>
            </w:pPr>
          </w:p>
        </w:tc>
      </w:tr>
      <w:tr>
        <w:trPr>
          <w:trHeight w:val="110"/>
        </w:trPr>
        <w:tc>
          <w:tcPr>
            <w:tcW w:w="2660" w:type="dxa"/>
            <w:vAlign w:val="bottom"/>
            <w:tcBorders>
              <w:bottom w:val="single" w:sz="8" w:color="auto"/>
            </w:tcBorders>
          </w:tcPr>
          <w:p>
            <w:pPr>
              <w:spacing w:after="0"/>
              <w:rPr>
                <w:sz w:val="9"/>
                <w:szCs w:val="9"/>
                <w:color w:val="auto"/>
              </w:rPr>
            </w:pPr>
          </w:p>
        </w:tc>
        <w:tc>
          <w:tcPr>
            <w:tcW w:w="2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Ms. Sharda Cherwoo did not join the Board until February 2020 and therefore is not included in this table.</w:t>
      </w:r>
    </w:p>
    <w:p>
      <w:pPr>
        <w:spacing w:after="0" w:line="252" w:lineRule="exact"/>
        <w:rPr>
          <w:rFonts w:ascii="Arial" w:cs="Arial" w:eastAsia="Arial" w:hAnsi="Arial"/>
          <w:sz w:val="18"/>
          <w:szCs w:val="18"/>
          <w:color w:val="auto"/>
        </w:rPr>
      </w:pPr>
    </w:p>
    <w:p>
      <w:pPr>
        <w:ind w:left="1680" w:right="40" w:hanging="549"/>
        <w:spacing w:after="0" w:line="294" w:lineRule="auto"/>
        <w:tabs>
          <w:tab w:leader="none" w:pos="1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amounts shown in this column represent the estimated aggregate grant date fair value of the RSU awards granted to the non-management independent directors in 2019. The estimated aggregate grant date fair value of these awards is based on the grant date fair market value of our common stock, as defined in the 2016 Omnibus Plan and is computed in accordance with FASB ASC Topic 718. Assumptions used in determining the aggregate grant date fair value of RSU awards are set forth in Note 10 to the notes to the consolidated financial statements in Item 15 of our annual report on Form 10-K for the year ended December 31, 2019.</w:t>
      </w:r>
    </w:p>
    <w:p>
      <w:pPr>
        <w:spacing w:after="0" w:line="182" w:lineRule="exact"/>
        <w:rPr>
          <w:rFonts w:ascii="Arial" w:cs="Arial" w:eastAsia="Arial" w:hAnsi="Arial"/>
          <w:sz w:val="16"/>
          <w:szCs w:val="16"/>
          <w:color w:val="auto"/>
        </w:rPr>
      </w:pPr>
    </w:p>
    <w:p>
      <w:pPr>
        <w:ind w:left="1680" w:right="620" w:hanging="549"/>
        <w:spacing w:after="0" w:line="268"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RSUs and stock units held by each non-management director serving as at December 31, 2019 was as follows:</w:t>
      </w:r>
    </w:p>
    <w:p>
      <w:pPr>
        <w:spacing w:after="0" w:line="117" w:lineRule="exact"/>
        <w:rPr>
          <w:sz w:val="20"/>
          <w:szCs w:val="20"/>
          <w:color w:val="auto"/>
        </w:rPr>
      </w:pPr>
    </w:p>
    <w:tbl>
      <w:tblPr>
        <w:tblLayout w:type="fixed"/>
        <w:tblInd w:w="1120" w:type="dxa"/>
        <w:tblCellMar>
          <w:top w:w="0" w:type="dxa"/>
          <w:left w:w="0" w:type="dxa"/>
          <w:bottom w:w="0" w:type="dxa"/>
          <w:right w:w="0" w:type="dxa"/>
        </w:tblCellMar>
      </w:tblPr>
      <w:tr>
        <w:trPr>
          <w:trHeight w:val="253"/>
        </w:trPr>
        <w:tc>
          <w:tcPr>
            <w:tcW w:w="7400" w:type="dxa"/>
            <w:vAlign w:val="bottom"/>
            <w:gridSpan w:val="3"/>
          </w:tcPr>
          <w:p>
            <w:pPr>
              <w:ind w:left="58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21"/>
                <w:szCs w:val="21"/>
                <w:color w:val="auto"/>
              </w:rPr>
            </w:pPr>
          </w:p>
        </w:tc>
        <w:tc>
          <w:tcPr>
            <w:tcW w:w="880" w:type="dxa"/>
            <w:vAlign w:val="bottom"/>
          </w:tcPr>
          <w:p>
            <w:pPr>
              <w:ind w:left="220"/>
              <w:spacing w:after="0"/>
              <w:rPr>
                <w:sz w:val="20"/>
                <w:szCs w:val="20"/>
                <w:color w:val="auto"/>
              </w:rPr>
            </w:pPr>
            <w:r>
              <w:rPr>
                <w:rFonts w:ascii="Arial" w:cs="Arial" w:eastAsia="Arial" w:hAnsi="Arial"/>
                <w:sz w:val="13"/>
                <w:szCs w:val="13"/>
                <w:b w:val="1"/>
                <w:bCs w:val="1"/>
                <w:color w:val="auto"/>
              </w:rPr>
              <w:t>Units</w:t>
            </w:r>
            <w:r>
              <w:rPr>
                <w:rFonts w:ascii="Arial" w:cs="Arial" w:eastAsia="Arial" w:hAnsi="Arial"/>
                <w:sz w:val="22"/>
                <w:szCs w:val="22"/>
                <w:b w:val="1"/>
                <w:bCs w:val="1"/>
                <w:color w:val="auto"/>
                <w:vertAlign w:val="superscript"/>
              </w:rPr>
              <w:t>(b)</w:t>
            </w:r>
          </w:p>
        </w:tc>
      </w:tr>
      <w:tr>
        <w:trPr>
          <w:trHeight w:val="250"/>
        </w:trPr>
        <w:tc>
          <w:tcPr>
            <w:tcW w:w="580" w:type="dxa"/>
            <w:vAlign w:val="bottom"/>
          </w:tcPr>
          <w:p>
            <w:pPr>
              <w:spacing w:after="0"/>
              <w:rPr>
                <w:sz w:val="21"/>
                <w:szCs w:val="21"/>
                <w:color w:val="auto"/>
              </w:rPr>
            </w:pPr>
          </w:p>
        </w:tc>
        <w:tc>
          <w:tcPr>
            <w:tcW w:w="6820" w:type="dxa"/>
            <w:vAlign w:val="bottom"/>
            <w:tcBorders>
              <w:top w:val="single" w:sz="8" w:color="auto"/>
            </w:tcBorders>
            <w:gridSpan w:val="2"/>
            <w:shd w:val="clear" w:color="auto" w:fill="CCEEFF"/>
          </w:tcPr>
          <w:p>
            <w:pPr>
              <w:spacing w:after="0" w:line="250" w:lineRule="exact"/>
              <w:rPr>
                <w:sz w:val="20"/>
                <w:szCs w:val="20"/>
                <w:color w:val="auto"/>
              </w:rPr>
            </w:pPr>
            <w:r>
              <w:rPr>
                <w:rFonts w:ascii="Arial" w:cs="Arial" w:eastAsia="Arial" w:hAnsi="Arial"/>
                <w:sz w:val="17"/>
                <w:szCs w:val="17"/>
                <w:color w:val="auto"/>
              </w:rPr>
              <w:t>Ken Bakshi</w:t>
            </w:r>
            <w:r>
              <w:rPr>
                <w:rFonts w:ascii="Arial" w:cs="Arial" w:eastAsia="Arial" w:hAnsi="Arial"/>
                <w:sz w:val="28"/>
                <w:szCs w:val="28"/>
                <w:b w:val="1"/>
                <w:bCs w:val="1"/>
                <w:color w:val="auto"/>
                <w:vertAlign w:val="superscript"/>
              </w:rPr>
              <w:t>(a)</w:t>
            </w:r>
          </w:p>
        </w:tc>
        <w:tc>
          <w:tcPr>
            <w:tcW w:w="160" w:type="dxa"/>
            <w:vAlign w:val="bottom"/>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37,405</w:t>
            </w:r>
          </w:p>
        </w:tc>
      </w:tr>
      <w:tr>
        <w:trPr>
          <w:trHeight w:val="216"/>
        </w:trPr>
        <w:tc>
          <w:tcPr>
            <w:tcW w:w="58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Jorge L. Benitez</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7,628</w:t>
            </w:r>
          </w:p>
        </w:tc>
      </w:tr>
      <w:tr>
        <w:trPr>
          <w:trHeight w:val="216"/>
        </w:trPr>
        <w:tc>
          <w:tcPr>
            <w:tcW w:w="58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J. Gold</w:t>
            </w:r>
          </w:p>
        </w:tc>
        <w:tc>
          <w:tcPr>
            <w:tcW w:w="10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6,687</w:t>
            </w:r>
          </w:p>
        </w:tc>
      </w:tr>
      <w:tr>
        <w:trPr>
          <w:trHeight w:val="216"/>
        </w:trPr>
        <w:tc>
          <w:tcPr>
            <w:tcW w:w="58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Richard A. Kassar</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24,140</w:t>
            </w:r>
          </w:p>
        </w:tc>
      </w:tr>
      <w:tr>
        <w:trPr>
          <w:trHeight w:val="216"/>
        </w:trPr>
        <w:tc>
          <w:tcPr>
            <w:tcW w:w="58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 Manley</w:t>
            </w:r>
          </w:p>
        </w:tc>
        <w:tc>
          <w:tcPr>
            <w:tcW w:w="10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9,377</w:t>
            </w:r>
          </w:p>
        </w:tc>
      </w:tr>
      <w:tr>
        <w:trPr>
          <w:trHeight w:val="216"/>
        </w:trPr>
        <w:tc>
          <w:tcPr>
            <w:tcW w:w="58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Stephen K. Roddenberry</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24,307</w:t>
            </w:r>
          </w:p>
        </w:tc>
      </w:tr>
      <w:tr>
        <w:trPr>
          <w:trHeight w:val="216"/>
        </w:trPr>
        <w:tc>
          <w:tcPr>
            <w:tcW w:w="58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10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6,991</w:t>
            </w:r>
          </w:p>
        </w:tc>
      </w:tr>
      <w:tr>
        <w:trPr>
          <w:trHeight w:val="108"/>
        </w:trPr>
        <w:tc>
          <w:tcPr>
            <w:tcW w:w="58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221" w:lineRule="exact"/>
        <w:rPr>
          <w:sz w:val="20"/>
          <w:szCs w:val="20"/>
          <w:color w:val="auto"/>
        </w:rPr>
      </w:pPr>
    </w:p>
    <w:p>
      <w:pPr>
        <w:ind w:left="1680" w:right="240" w:hanging="549"/>
        <w:spacing w:after="0" w:line="268"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13,098 stock units for Mr. Bakshi, which represents stock awards he received that he previously elected to defer pursuant to our Non-Employee Director Stock Deferral Plan.</w:t>
      </w:r>
    </w:p>
    <w:p>
      <w:pPr>
        <w:spacing w:after="0" w:line="212" w:lineRule="exact"/>
        <w:rPr>
          <w:rFonts w:ascii="Arial" w:cs="Arial" w:eastAsia="Arial" w:hAnsi="Arial"/>
          <w:sz w:val="18"/>
          <w:szCs w:val="18"/>
          <w:color w:val="auto"/>
        </w:rPr>
      </w:pPr>
    </w:p>
    <w:p>
      <w:pPr>
        <w:ind w:left="1680" w:right="520" w:hanging="549"/>
        <w:spacing w:after="0" w:line="268"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 discussion of the applicable vesting terms of these RSUs and stock units, please see the table and related footnotes for each director beginning on page 86 of this proxy statement.</w:t>
      </w:r>
    </w:p>
    <w:p>
      <w:pPr>
        <w:spacing w:after="0" w:line="199" w:lineRule="exact"/>
        <w:rPr>
          <w:sz w:val="20"/>
          <w:szCs w:val="20"/>
          <w:color w:val="auto"/>
        </w:rPr>
      </w:pPr>
    </w:p>
    <w:p>
      <w:pPr>
        <w:ind w:left="1680" w:hanging="549"/>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Presby retired from our Board and did not stand for re-election at the 2019 Annual Meeting.</w:t>
      </w:r>
    </w:p>
    <w:p>
      <w:pPr>
        <w:spacing w:after="0" w:line="15"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Director Stock Ownership Guidelines</w:t>
      </w:r>
    </w:p>
    <w:p>
      <w:pPr>
        <w:spacing w:after="0" w:line="225" w:lineRule="exact"/>
        <w:rPr>
          <w:sz w:val="20"/>
          <w:szCs w:val="20"/>
          <w:color w:val="auto"/>
        </w:rPr>
      </w:pPr>
    </w:p>
    <w:p>
      <w:pPr>
        <w:ind w:right="80" w:firstLine="614"/>
        <w:spacing w:after="0" w:line="283" w:lineRule="auto"/>
        <w:rPr>
          <w:sz w:val="20"/>
          <w:szCs w:val="20"/>
          <w:color w:val="auto"/>
        </w:rPr>
      </w:pPr>
      <w:r>
        <w:rPr>
          <w:rFonts w:ascii="Arial" w:cs="Arial" w:eastAsia="Arial" w:hAnsi="Arial"/>
          <w:sz w:val="16"/>
          <w:szCs w:val="16"/>
          <w:color w:val="auto"/>
        </w:rPr>
        <w:t>Each non-management director is required to accumulate, over a period of five years following election to the Board, a minimum of five times the annual fee for service on the Board, or $425,000, in our common stock. All of our non-management directors, with the exception of Ms. Cherwoo, who joined the Board on February 5, 2020, have achieved stock ownership levels in excess of the amount required. Vested RSUs and stock units that a director has elected to defer until retirement are included in the calculation of whether the minimum ownership requirement has been achieved.</w:t>
      </w:r>
    </w:p>
    <w:p>
      <w:pPr>
        <w:spacing w:after="0" w:line="3"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0048E0"/>
        </w:rPr>
      </w:pPr>
      <w:r>
        <w:rPr>
          <w:rFonts w:ascii="Arial" w:cs="Arial" w:eastAsia="Arial" w:hAnsi="Arial"/>
          <w:sz w:val="18"/>
          <w:szCs w:val="18"/>
          <w:b w:val="1"/>
          <w:bCs w:val="1"/>
          <w:color w:val="0048E0"/>
        </w:rPr>
        <w:t>INFORMATION CONCERNING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right="60" w:firstLine="611"/>
        <w:spacing w:after="0" w:line="335" w:lineRule="auto"/>
        <w:rPr>
          <w:sz w:val="20"/>
          <w:szCs w:val="20"/>
          <w:color w:val="auto"/>
        </w:rPr>
      </w:pPr>
      <w:r>
        <w:rPr>
          <w:rFonts w:ascii="Arial" w:cs="Arial" w:eastAsia="Arial" w:hAnsi="Arial"/>
          <w:sz w:val="15"/>
          <w:szCs w:val="15"/>
          <w:color w:val="auto"/>
        </w:rPr>
        <w:t>The following table sets forth certain information with respect to our current executive officers and lists their current titles. A summary of the background and experience of Messrs. Birns, Smith, Crosby, Rau, and Lake are set forth in the paragraphs following the table. The background and experience of Mr. Kasbar is described above in the section titled "Proposal No. 1—Election of Directors." All executive officers serve at the discretion of the Board.</w:t>
      </w:r>
    </w:p>
    <w:p>
      <w:pPr>
        <w:spacing w:after="0" w:line="13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6"/>
              </w:rPr>
              <w:t>Year First</w:t>
            </w:r>
          </w:p>
        </w:tc>
      </w:tr>
      <w:tr>
        <w:trPr>
          <w:trHeight w:val="148"/>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88"/>
              </w:rPr>
              <w:t>Became</w:t>
            </w:r>
          </w:p>
        </w:tc>
      </w:tr>
      <w:tr>
        <w:trPr>
          <w:trHeight w:val="161"/>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 and Current Position</w:t>
            </w:r>
          </w:p>
        </w:tc>
        <w:tc>
          <w:tcPr>
            <w:tcW w:w="160" w:type="dxa"/>
            <w:vAlign w:val="bottom"/>
          </w:tcPr>
          <w:p>
            <w:pPr>
              <w:spacing w:after="0"/>
              <w:rPr>
                <w:sz w:val="14"/>
                <w:szCs w:val="14"/>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Executive Officer</w:t>
            </w:r>
          </w:p>
        </w:tc>
      </w:tr>
      <w:tr>
        <w:trPr>
          <w:trHeight w:val="201"/>
        </w:trPr>
        <w:tc>
          <w:tcPr>
            <w:tcW w:w="66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Michael J. Kasbar</w:t>
            </w:r>
          </w:p>
        </w:tc>
        <w:tc>
          <w:tcPr>
            <w:tcW w:w="72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63</w:t>
            </w:r>
          </w:p>
        </w:tc>
        <w:tc>
          <w:tcPr>
            <w:tcW w:w="1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1995</w:t>
            </w:r>
          </w:p>
        </w:tc>
      </w:tr>
      <w:tr>
        <w:trPr>
          <w:trHeight w:val="224"/>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Chairman, President and Chief Executive Officer</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08"/>
        </w:trPr>
        <w:tc>
          <w:tcPr>
            <w:tcW w:w="6640" w:type="dxa"/>
            <w:vAlign w:val="bottom"/>
          </w:tcPr>
          <w:p>
            <w:pPr>
              <w:ind w:left="20"/>
              <w:spacing w:after="0"/>
              <w:rPr>
                <w:sz w:val="20"/>
                <w:szCs w:val="20"/>
                <w:color w:val="auto"/>
              </w:rPr>
            </w:pPr>
            <w:r>
              <w:rPr>
                <w:rFonts w:ascii="Arial" w:cs="Arial" w:eastAsia="Arial" w:hAnsi="Arial"/>
                <w:sz w:val="18"/>
                <w:szCs w:val="18"/>
                <w:color w:val="auto"/>
              </w:rPr>
              <w:t>Ira M. Birns</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57</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2007</w:t>
            </w:r>
          </w:p>
        </w:tc>
      </w:tr>
      <w:tr>
        <w:trPr>
          <w:trHeight w:val="223"/>
        </w:trPr>
        <w:tc>
          <w:tcPr>
            <w:tcW w:w="6640" w:type="dxa"/>
            <w:vAlign w:val="bottom"/>
          </w:tcPr>
          <w:p>
            <w:pPr>
              <w:ind w:left="20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Jeffrey P. Smith</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r>
      <w:tr>
        <w:trPr>
          <w:trHeight w:val="224"/>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Executive Vice President and Chief Operating Officer</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08"/>
        </w:trPr>
        <w:tc>
          <w:tcPr>
            <w:tcW w:w="6640" w:type="dxa"/>
            <w:vAlign w:val="bottom"/>
          </w:tcPr>
          <w:p>
            <w:pPr>
              <w:ind w:left="20"/>
              <w:spacing w:after="0"/>
              <w:rPr>
                <w:sz w:val="20"/>
                <w:szCs w:val="20"/>
                <w:color w:val="auto"/>
              </w:rPr>
            </w:pPr>
            <w:r>
              <w:rPr>
                <w:rFonts w:ascii="Arial" w:cs="Arial" w:eastAsia="Arial" w:hAnsi="Arial"/>
                <w:sz w:val="18"/>
                <w:szCs w:val="18"/>
                <w:color w:val="auto"/>
              </w:rPr>
              <w:t>Michael J. Crosby</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55</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23"/>
        </w:trPr>
        <w:tc>
          <w:tcPr>
            <w:tcW w:w="6640" w:type="dxa"/>
            <w:vAlign w:val="bottom"/>
          </w:tcPr>
          <w:p>
            <w:pPr>
              <w:ind w:left="200"/>
              <w:spacing w:after="0"/>
              <w:rPr>
                <w:sz w:val="20"/>
                <w:szCs w:val="20"/>
                <w:color w:val="auto"/>
              </w:rPr>
            </w:pPr>
            <w:r>
              <w:rPr>
                <w:rFonts w:ascii="Arial" w:cs="Arial" w:eastAsia="Arial" w:hAnsi="Arial"/>
                <w:sz w:val="18"/>
                <w:szCs w:val="18"/>
                <w:i w:val="1"/>
                <w:iCs w:val="1"/>
                <w:color w:val="auto"/>
              </w:rPr>
              <w:t>Executive Vice President, Global Land</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P. Rau</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r>
      <w:tr>
        <w:trPr>
          <w:trHeight w:val="224"/>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Executive Vice President, Global Aviation and Marine</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08"/>
        </w:trPr>
        <w:tc>
          <w:tcPr>
            <w:tcW w:w="6640" w:type="dxa"/>
            <w:vAlign w:val="bottom"/>
          </w:tcPr>
          <w:p>
            <w:pPr>
              <w:ind w:left="20"/>
              <w:spacing w:after="0"/>
              <w:rPr>
                <w:sz w:val="20"/>
                <w:szCs w:val="20"/>
                <w:color w:val="auto"/>
              </w:rPr>
            </w:pPr>
            <w:r>
              <w:rPr>
                <w:rFonts w:ascii="Arial" w:cs="Arial" w:eastAsia="Arial" w:hAnsi="Arial"/>
                <w:sz w:val="18"/>
                <w:szCs w:val="18"/>
                <w:color w:val="auto"/>
              </w:rPr>
              <w:t>R. Alexander Lake, Jr.</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48</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22"/>
        </w:trPr>
        <w:tc>
          <w:tcPr>
            <w:tcW w:w="6640" w:type="dxa"/>
            <w:vAlign w:val="bottom"/>
          </w:tcPr>
          <w:p>
            <w:pPr>
              <w:ind w:left="200"/>
              <w:spacing w:after="0"/>
              <w:rPr>
                <w:sz w:val="20"/>
                <w:szCs w:val="20"/>
                <w:color w:val="auto"/>
              </w:rPr>
            </w:pPr>
            <w:r>
              <w:rPr>
                <w:rFonts w:ascii="Arial" w:cs="Arial" w:eastAsia="Arial" w:hAnsi="Arial"/>
                <w:sz w:val="18"/>
                <w:szCs w:val="18"/>
                <w:i w:val="1"/>
                <w:iCs w:val="1"/>
                <w:color w:val="auto"/>
              </w:rPr>
              <w:t>Executive Vice President, Chief Legal Officer and Corporate Secretary</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pacing w:after="0" w:line="204" w:lineRule="exact"/>
        <w:rPr>
          <w:sz w:val="20"/>
          <w:szCs w:val="20"/>
          <w:color w:val="auto"/>
        </w:rPr>
      </w:pPr>
    </w:p>
    <w:p>
      <w:pPr>
        <w:ind w:right="80" w:firstLine="614"/>
        <w:spacing w:after="0" w:line="256" w:lineRule="auto"/>
        <w:rPr>
          <w:sz w:val="20"/>
          <w:szCs w:val="20"/>
          <w:color w:val="auto"/>
        </w:rPr>
      </w:pPr>
      <w:r>
        <w:rPr>
          <w:rFonts w:ascii="Arial" w:cs="Arial" w:eastAsia="Arial" w:hAnsi="Arial"/>
          <w:sz w:val="18"/>
          <w:szCs w:val="18"/>
          <w:b w:val="1"/>
          <w:bCs w:val="1"/>
          <w:color w:val="0048E0"/>
        </w:rPr>
        <w:t xml:space="preserve">IRA M. BIRNS </w:t>
      </w:r>
      <w:r>
        <w:rPr>
          <w:rFonts w:ascii="Arial" w:cs="Arial" w:eastAsia="Arial" w:hAnsi="Arial"/>
          <w:sz w:val="18"/>
          <w:szCs w:val="18"/>
          <w:color w:val="000000"/>
        </w:rPr>
        <w:t>has served as our Executive Vice President and Chief Financial Officer since April 2007. From August 2004 to March 2007,</w:t>
      </w:r>
      <w:r>
        <w:rPr>
          <w:rFonts w:ascii="Arial" w:cs="Arial" w:eastAsia="Arial" w:hAnsi="Arial"/>
          <w:sz w:val="18"/>
          <w:szCs w:val="18"/>
          <w:b w:val="1"/>
          <w:bCs w:val="1"/>
          <w:color w:val="0048E0"/>
        </w:rPr>
        <w:t xml:space="preserve"> </w:t>
      </w:r>
      <w:r>
        <w:rPr>
          <w:rFonts w:ascii="Arial" w:cs="Arial" w:eastAsia="Arial" w:hAnsi="Arial"/>
          <w:sz w:val="18"/>
          <w:szCs w:val="18"/>
          <w:color w:val="000000"/>
        </w:rPr>
        <w:t>Mr. Birns served as Vice-President and Treasurer and Vice President-Investor Relations of Arrow Electronics, Inc., a NYSE company and electronics distributor. From May 2002 until August 2004, he served as Vice President and Treasurer of Arrow Electronics, Inc. Prior thereto and from 1996, he served as Treasurer of Arrow Electronics, Inc. He was Assistant Treasurer of Arrow Electronics, Inc. from 1989 to 1996. Mr. Birns is a member of the Board of Trustees of the New World Symphony of Miami, Florida.</w:t>
      </w:r>
    </w:p>
    <w:p>
      <w:pPr>
        <w:spacing w:after="0" w:line="192" w:lineRule="exact"/>
        <w:rPr>
          <w:sz w:val="20"/>
          <w:szCs w:val="20"/>
          <w:color w:val="auto"/>
        </w:rPr>
      </w:pPr>
    </w:p>
    <w:p>
      <w:pPr>
        <w:ind w:right="100" w:firstLine="614"/>
        <w:spacing w:after="0" w:line="290" w:lineRule="auto"/>
        <w:rPr>
          <w:sz w:val="20"/>
          <w:szCs w:val="20"/>
          <w:color w:val="auto"/>
        </w:rPr>
      </w:pPr>
      <w:r>
        <w:rPr>
          <w:rFonts w:ascii="Arial" w:cs="Arial" w:eastAsia="Arial" w:hAnsi="Arial"/>
          <w:sz w:val="16"/>
          <w:szCs w:val="16"/>
          <w:b w:val="1"/>
          <w:bCs w:val="1"/>
          <w:color w:val="0048E0"/>
        </w:rPr>
        <w:t xml:space="preserve">JEFFREY P. SMITH </w:t>
      </w:r>
      <w:r>
        <w:rPr>
          <w:rFonts w:ascii="Arial" w:cs="Arial" w:eastAsia="Arial" w:hAnsi="Arial"/>
          <w:sz w:val="16"/>
          <w:szCs w:val="16"/>
          <w:color w:val="000000"/>
        </w:rPr>
        <w:t>has served as our Executive Vice President and Chief Operating Officer since October 2017. Previously, he served as Chief</w:t>
      </w:r>
      <w:r>
        <w:rPr>
          <w:rFonts w:ascii="Arial" w:cs="Arial" w:eastAsia="Arial" w:hAnsi="Arial"/>
          <w:sz w:val="16"/>
          <w:szCs w:val="16"/>
          <w:b w:val="1"/>
          <w:bCs w:val="1"/>
          <w:color w:val="0048E0"/>
        </w:rPr>
        <w:t xml:space="preserve"> </w:t>
      </w:r>
      <w:r>
        <w:rPr>
          <w:rFonts w:ascii="Arial" w:cs="Arial" w:eastAsia="Arial" w:hAnsi="Arial"/>
          <w:sz w:val="16"/>
          <w:szCs w:val="16"/>
          <w:color w:val="000000"/>
        </w:rPr>
        <w:t>Information Officer of International Business Machines Corporation ("IBM") from August 2014 through May 2017, where he was responsible for global information technology ("IT") operations, including provisioning and management of all computing devices and all software solutions required to run IBM, such as Customer Relationship Management ("CRM") for sales and service and Enterprise Resource Planning ("ERP") for financials and manufacturing. Prior to joining IBM, Mr. Smith served as Chief Executive Officer of Suncorp Business Services, part of Suncorp Group Limited, from July 2010 to August 2014, and Chief Information Officer from March 2007 to July 2010. While at Suncorp, Mr. Smith was responsible for the Group's technology, analytics, real estate, finance, procurement, and customer relationship, IT and business process outsourcing operations. With more than 30 years of corporate experience, Mr. Smith has also held senior executive roles in a number of companies including Telstra Corporation and Honeywell.</w:t>
      </w:r>
    </w:p>
    <w:p>
      <w:pPr>
        <w:spacing w:after="0" w:line="165" w:lineRule="exact"/>
        <w:rPr>
          <w:sz w:val="20"/>
          <w:szCs w:val="20"/>
          <w:color w:val="auto"/>
        </w:rPr>
      </w:pPr>
    </w:p>
    <w:p>
      <w:pPr>
        <w:ind w:right="180" w:firstLine="614"/>
        <w:spacing w:after="0" w:line="254" w:lineRule="auto"/>
        <w:rPr>
          <w:sz w:val="20"/>
          <w:szCs w:val="20"/>
          <w:color w:val="auto"/>
        </w:rPr>
      </w:pPr>
      <w:r>
        <w:rPr>
          <w:rFonts w:ascii="Arial" w:cs="Arial" w:eastAsia="Arial" w:hAnsi="Arial"/>
          <w:sz w:val="18"/>
          <w:szCs w:val="18"/>
          <w:b w:val="1"/>
          <w:bCs w:val="1"/>
          <w:color w:val="0048E0"/>
        </w:rPr>
        <w:t xml:space="preserve">MICHAEL J. CROSBY </w:t>
      </w:r>
      <w:r>
        <w:rPr>
          <w:rFonts w:ascii="Arial" w:cs="Arial" w:eastAsia="Arial" w:hAnsi="Arial"/>
          <w:sz w:val="18"/>
          <w:szCs w:val="18"/>
          <w:color w:val="000000"/>
        </w:rPr>
        <w:t>has served as our Executive Vice President of Global Land since March 2016. Previously, he served as our Executive Vice</w:t>
      </w:r>
      <w:r>
        <w:rPr>
          <w:rFonts w:ascii="Arial" w:cs="Arial" w:eastAsia="Arial" w:hAnsi="Arial"/>
          <w:sz w:val="18"/>
          <w:szCs w:val="18"/>
          <w:b w:val="1"/>
          <w:bCs w:val="1"/>
          <w:color w:val="0048E0"/>
        </w:rPr>
        <w:t xml:space="preserve"> </w:t>
      </w:r>
      <w:r>
        <w:rPr>
          <w:rFonts w:ascii="Arial" w:cs="Arial" w:eastAsia="Arial" w:hAnsi="Arial"/>
          <w:sz w:val="18"/>
          <w:szCs w:val="18"/>
          <w:color w:val="000000"/>
        </w:rPr>
        <w:t>President of Land Americas since April 2015. From January 2014 to March 2015, Mr. Crosby was the Chief Operating Officer of Next Generation Energy Logistics, a private equity-backed fuel and lubes distribution business, where he was instrumental in raising capital and executing the company's acquisition and consolidation strategy. Prior</w:t>
      </w: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to that, from June 2011 to July 2013, Mr. Crosby served as President of Maxum Petroleum, Inc.'s industrial business, including the marine and rail segments, and as President, Commercial Fuel &amp; Lubricants of SC Fuels Trading, LLC from July 2013 to December 2013 following its acquisition of Maxum Petroleum. From January 2009 to December 2010, Mr. Crosby served as Chief Executive Officer of Highlands Override Inc., a new business venture owned by Irving Oil Corporation, a company specializing in finished energy products. From June 2004 to December 2008, Mr. Crosby served as Chief Operating Officer at Irving Oil Corporation, prior to which he was its Chief Resource Officer from November 1999 to May 2004.</w:t>
      </w:r>
    </w:p>
    <w:p>
      <w:pPr>
        <w:spacing w:after="0" w:line="163" w:lineRule="exact"/>
        <w:rPr>
          <w:sz w:val="20"/>
          <w:szCs w:val="20"/>
          <w:color w:val="auto"/>
        </w:rPr>
      </w:pPr>
    </w:p>
    <w:p>
      <w:pPr>
        <w:ind w:right="40" w:firstLine="614"/>
        <w:spacing w:after="0" w:line="293" w:lineRule="auto"/>
        <w:rPr>
          <w:sz w:val="20"/>
          <w:szCs w:val="20"/>
          <w:color w:val="auto"/>
        </w:rPr>
      </w:pPr>
      <w:r>
        <w:rPr>
          <w:rFonts w:ascii="Arial" w:cs="Arial" w:eastAsia="Arial" w:hAnsi="Arial"/>
          <w:sz w:val="16"/>
          <w:szCs w:val="16"/>
          <w:b w:val="1"/>
          <w:bCs w:val="1"/>
          <w:color w:val="0048E0"/>
        </w:rPr>
        <w:t xml:space="preserve">JOHN P. RAU </w:t>
      </w:r>
      <w:r>
        <w:rPr>
          <w:rFonts w:ascii="Arial" w:cs="Arial" w:eastAsia="Arial" w:hAnsi="Arial"/>
          <w:sz w:val="16"/>
          <w:szCs w:val="16"/>
          <w:color w:val="000000"/>
        </w:rPr>
        <w:t>has served as our Executive Vice President of Global Aviation and Marine since March 2016. Previously, he served as our Executive</w:t>
      </w:r>
      <w:r>
        <w:rPr>
          <w:rFonts w:ascii="Arial" w:cs="Arial" w:eastAsia="Arial" w:hAnsi="Arial"/>
          <w:sz w:val="16"/>
          <w:szCs w:val="16"/>
          <w:b w:val="1"/>
          <w:bCs w:val="1"/>
          <w:color w:val="0048E0"/>
        </w:rPr>
        <w:t xml:space="preserve"> </w:t>
      </w:r>
      <w:r>
        <w:rPr>
          <w:rFonts w:ascii="Arial" w:cs="Arial" w:eastAsia="Arial" w:hAnsi="Arial"/>
          <w:sz w:val="16"/>
          <w:szCs w:val="16"/>
          <w:color w:val="000000"/>
        </w:rPr>
        <w:t>Vice President of Aviation from April 2014 and as our Senior Vice President of Aviation Americas from October 2011 to April 2014. From July 1995 to October 2011, Mr. Rau served as Managing Director at American Airlines, where he was responsible for the purchase and management of jet fuel, utilities, deicing fluids, and transportation, as well as management of American's supplier diversity program. From January 1987 to July 1995, Mr. Rau served as Manager of Fuel Supply and Trading at United Airlines. Prior to that, he served as United Airlines' Operations Manager from January 1987 to November 1988. From May 1985 to January 1987, Mr. Rau was a Supply, Marketing and Distribution representative for Koch Industries.</w:t>
      </w:r>
    </w:p>
    <w:p>
      <w:pPr>
        <w:spacing w:after="0" w:line="164" w:lineRule="exact"/>
        <w:rPr>
          <w:sz w:val="20"/>
          <w:szCs w:val="20"/>
          <w:color w:val="auto"/>
        </w:rPr>
      </w:pPr>
    </w:p>
    <w:p>
      <w:pPr>
        <w:ind w:right="60" w:firstLine="614"/>
        <w:spacing w:after="0" w:line="284" w:lineRule="auto"/>
        <w:rPr>
          <w:sz w:val="20"/>
          <w:szCs w:val="20"/>
          <w:color w:val="auto"/>
        </w:rPr>
      </w:pPr>
      <w:r>
        <w:rPr>
          <w:rFonts w:ascii="Arial" w:cs="Arial" w:eastAsia="Arial" w:hAnsi="Arial"/>
          <w:sz w:val="16"/>
          <w:szCs w:val="16"/>
          <w:b w:val="1"/>
          <w:bCs w:val="1"/>
          <w:color w:val="0048E0"/>
        </w:rPr>
        <w:t xml:space="preserve">R. ALEXANDER LAKE, JR. </w:t>
      </w:r>
      <w:r>
        <w:rPr>
          <w:rFonts w:ascii="Arial" w:cs="Arial" w:eastAsia="Arial" w:hAnsi="Arial"/>
          <w:sz w:val="16"/>
          <w:szCs w:val="16"/>
          <w:color w:val="000000"/>
        </w:rPr>
        <w:t>has served as our Executive Vice President, Chief Legal Officer and Corporate Secretary since March 2017.</w:t>
      </w:r>
      <w:r>
        <w:rPr>
          <w:rFonts w:ascii="Arial" w:cs="Arial" w:eastAsia="Arial" w:hAnsi="Arial"/>
          <w:sz w:val="16"/>
          <w:szCs w:val="16"/>
          <w:b w:val="1"/>
          <w:bCs w:val="1"/>
          <w:color w:val="0048E0"/>
        </w:rPr>
        <w:t xml:space="preserve"> </w:t>
      </w:r>
      <w:r>
        <w:rPr>
          <w:rFonts w:ascii="Arial" w:cs="Arial" w:eastAsia="Arial" w:hAnsi="Arial"/>
          <w:sz w:val="16"/>
          <w:szCs w:val="16"/>
          <w:color w:val="000000"/>
        </w:rPr>
        <w:t>Previously, he served as our Senior Vice President, General Counsel and Corporate Secretary since May 2010 and as our General Counsel and Corporate Secretary from January 2004 to May 2010. Prior to joining us, Mr. Lake served as Assistant General Counsel of America Online Latin America, Inc., a leading interactive service provider in Latin America. Prior to that, from September 1996 to January 2001, Mr. Lake served in private practice as a corporate attorney with the law firms of White &amp; Case, Winston &amp; Strawn and Curtis Mallet-Prevost, Colt &amp; Mosle.</w:t>
      </w:r>
    </w:p>
    <w:p>
      <w:pPr>
        <w:spacing w:after="0" w:line="4"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048E0"/>
        </w:rPr>
        <w:t>IV.</w:t>
      </w:r>
      <w:r>
        <w:rPr>
          <w:sz w:val="20"/>
          <w:szCs w:val="20"/>
          <w:color w:val="auto"/>
        </w:rPr>
        <w:tab/>
      </w:r>
      <w:r>
        <w:rPr>
          <w:rFonts w:ascii="Arial" w:cs="Arial" w:eastAsia="Arial" w:hAnsi="Arial"/>
          <w:sz w:val="18"/>
          <w:szCs w:val="18"/>
          <w:b w:val="1"/>
          <w:bCs w:val="1"/>
          <w:color w:val="0048E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right="180" w:firstLine="611"/>
        <w:spacing w:after="0" w:line="254" w:lineRule="auto"/>
        <w:rPr>
          <w:sz w:val="20"/>
          <w:szCs w:val="20"/>
          <w:color w:val="auto"/>
        </w:rPr>
      </w:pPr>
      <w:r>
        <w:rPr>
          <w:rFonts w:ascii="Arial" w:cs="Arial" w:eastAsia="Arial" w:hAnsi="Arial"/>
          <w:sz w:val="18"/>
          <w:szCs w:val="18"/>
          <w:color w:val="auto"/>
        </w:rPr>
        <w:t>This Compensation Discussion and Analysis is designed to provide our shareholders with a clear understanding of our compensation philosophy and objectives, compensation-setting process, and the 2019 compensation of our named executive officers, or NEOs. As discussed in Proposal 2 of this proxy statement, we are conducting a Say-on-Pay vote this year that requests your approval, on a non-binding advisory basis, of the compensation of our NEOs as described in this section and in the tables and accompanying narrative contained below under "Executive Compensation". To assist you with this vote, you should review our compensation philosophy, the design of our executive compensation programs and how, we believe, these programs contribute to our financial performance.</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2019, our NEOs were:</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Title</w:t>
            </w:r>
          </w:p>
        </w:tc>
      </w:tr>
      <w:tr>
        <w:trPr>
          <w:trHeight w:val="21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J. Kasbar</w:t>
            </w:r>
          </w:p>
        </w:tc>
        <w:tc>
          <w:tcPr>
            <w:tcW w:w="160" w:type="dxa"/>
            <w:vAlign w:val="bottom"/>
            <w:shd w:val="clear" w:color="auto" w:fill="CCEEFF"/>
          </w:tcPr>
          <w:p>
            <w:pPr>
              <w:spacing w:after="0"/>
              <w:rPr>
                <w:sz w:val="18"/>
                <w:szCs w:val="18"/>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16"/>
        </w:trPr>
        <w:tc>
          <w:tcPr>
            <w:tcW w:w="2120" w:type="dxa"/>
            <w:vAlign w:val="bottom"/>
          </w:tcPr>
          <w:p>
            <w:pPr>
              <w:ind w:left="20"/>
              <w:spacing w:after="0"/>
              <w:rPr>
                <w:sz w:val="20"/>
                <w:szCs w:val="20"/>
                <w:color w:val="auto"/>
              </w:rPr>
            </w:pPr>
            <w:r>
              <w:rPr>
                <w:rFonts w:ascii="Arial" w:cs="Arial" w:eastAsia="Arial" w:hAnsi="Arial"/>
                <w:sz w:val="18"/>
                <w:szCs w:val="18"/>
                <w:color w:val="auto"/>
              </w:rPr>
              <w:t>Ira M. Birns</w:t>
            </w:r>
          </w:p>
        </w:tc>
        <w:tc>
          <w:tcPr>
            <w:tcW w:w="16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Jeffrey P. Smith</w:t>
            </w:r>
          </w:p>
        </w:tc>
        <w:tc>
          <w:tcPr>
            <w:tcW w:w="160" w:type="dxa"/>
            <w:vAlign w:val="bottom"/>
            <w:shd w:val="clear" w:color="auto" w:fill="CCEEFF"/>
          </w:tcPr>
          <w:p>
            <w:pPr>
              <w:spacing w:after="0"/>
              <w:rPr>
                <w:sz w:val="18"/>
                <w:szCs w:val="18"/>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16"/>
        </w:trPr>
        <w:tc>
          <w:tcPr>
            <w:tcW w:w="2120" w:type="dxa"/>
            <w:vAlign w:val="bottom"/>
          </w:tcPr>
          <w:p>
            <w:pPr>
              <w:ind w:left="20"/>
              <w:spacing w:after="0"/>
              <w:rPr>
                <w:sz w:val="20"/>
                <w:szCs w:val="20"/>
                <w:color w:val="auto"/>
              </w:rPr>
            </w:pPr>
            <w:r>
              <w:rPr>
                <w:rFonts w:ascii="Arial" w:cs="Arial" w:eastAsia="Arial" w:hAnsi="Arial"/>
                <w:sz w:val="18"/>
                <w:szCs w:val="18"/>
                <w:color w:val="auto"/>
              </w:rPr>
              <w:t>Michael J. Crosby</w:t>
            </w:r>
          </w:p>
        </w:tc>
        <w:tc>
          <w:tcPr>
            <w:tcW w:w="16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Executive Vice President, Global Land</w:t>
            </w:r>
          </w:p>
        </w:tc>
      </w:tr>
      <w:tr>
        <w:trPr>
          <w:trHeight w:val="216"/>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P. Rau</w:t>
            </w:r>
          </w:p>
        </w:tc>
        <w:tc>
          <w:tcPr>
            <w:tcW w:w="160" w:type="dxa"/>
            <w:vAlign w:val="bottom"/>
            <w:shd w:val="clear" w:color="auto" w:fill="CCEEFF"/>
          </w:tcPr>
          <w:p>
            <w:pPr>
              <w:spacing w:after="0"/>
              <w:rPr>
                <w:sz w:val="18"/>
                <w:szCs w:val="18"/>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Global Aviation and Marine</w:t>
            </w:r>
          </w:p>
        </w:tc>
      </w:tr>
    </w:tbl>
    <w:p>
      <w:pPr>
        <w:spacing w:after="0" w:line="208" w:lineRule="exact"/>
        <w:rPr>
          <w:sz w:val="20"/>
          <w:szCs w:val="20"/>
          <w:color w:val="auto"/>
        </w:rPr>
      </w:pPr>
    </w:p>
    <w:p>
      <w:pPr>
        <w:ind w:firstLine="614"/>
        <w:spacing w:after="0" w:line="298" w:lineRule="auto"/>
        <w:rPr>
          <w:sz w:val="20"/>
          <w:szCs w:val="20"/>
          <w:color w:val="auto"/>
        </w:rPr>
      </w:pPr>
      <w:r>
        <w:rPr>
          <w:rFonts w:ascii="Arial" w:cs="Arial" w:eastAsia="Arial" w:hAnsi="Arial"/>
          <w:sz w:val="16"/>
          <w:szCs w:val="16"/>
          <w:color w:val="auto"/>
        </w:rPr>
        <w:t>Please note that the decisions with respect to the targets and incentive compensation program described in this Compensation Discussion and Analysis were made in the normal course in early 2019 and the resulting payments were thereafter made in early 2020 for the corresponding amount. The Committee is monitoring and will continue to consider the business and financial impact of the COVID-19 pandemic on the Company, our shareholders, employees and other stakeholders in evaluating 2020 performance throughout the year and into early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Executive Summary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Principles of our Compensation Program</w:t>
      </w:r>
    </w:p>
    <w:p>
      <w:pPr>
        <w:spacing w:after="0" w:line="225" w:lineRule="exact"/>
        <w:rPr>
          <w:sz w:val="20"/>
          <w:szCs w:val="20"/>
          <w:color w:val="auto"/>
        </w:rPr>
      </w:pPr>
    </w:p>
    <w:p>
      <w:pPr>
        <w:ind w:right="160" w:firstLine="614"/>
        <w:spacing w:after="0" w:line="254" w:lineRule="auto"/>
        <w:rPr>
          <w:sz w:val="20"/>
          <w:szCs w:val="20"/>
          <w:color w:val="auto"/>
        </w:rPr>
      </w:pPr>
      <w:r>
        <w:rPr>
          <w:rFonts w:ascii="Arial" w:cs="Arial" w:eastAsia="Arial" w:hAnsi="Arial"/>
          <w:sz w:val="18"/>
          <w:szCs w:val="18"/>
          <w:color w:val="auto"/>
        </w:rPr>
        <w:t>Our compensation program is designed to attract and retain executives and motivate them to deliver strong financial results. We structure our compensation program to directly align our compensation levels with current and future performance that creates value for our shareholders, employees, customers and other stakeholders. As a result, a significant percentage of the total target compensation for our NEOs in 2019 was a combination of short- and long-term performance-based equity awards such that the ultimate realizable value would be highly contingent upon our future operating results and stock price.</w:t>
      </w:r>
    </w:p>
    <w:p>
      <w:pPr>
        <w:spacing w:after="0" w:line="201" w:lineRule="exact"/>
        <w:rPr>
          <w:sz w:val="20"/>
          <w:szCs w:val="20"/>
          <w:color w:val="auto"/>
        </w:rPr>
      </w:pPr>
    </w:p>
    <w:p>
      <w:pPr>
        <w:ind w:right="280" w:firstLine="614"/>
        <w:spacing w:after="0" w:line="254" w:lineRule="auto"/>
        <w:rPr>
          <w:sz w:val="20"/>
          <w:szCs w:val="20"/>
          <w:color w:val="auto"/>
        </w:rPr>
      </w:pPr>
      <w:r>
        <w:rPr>
          <w:rFonts w:ascii="Arial" w:cs="Arial" w:eastAsia="Arial" w:hAnsi="Arial"/>
          <w:sz w:val="18"/>
          <w:szCs w:val="18"/>
          <w:color w:val="auto"/>
        </w:rPr>
        <w:t>For 2019, the portion of the total target direct compensation that was variable or "at-risk" for our Chief Executive Officer was 83% and averaged to 71% for our other NEOs, reflecting our commitment to linking compensation to Company performance and strategy.</w:t>
      </w: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8E0"/>
        </w:rPr>
        <w:t>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151765</wp:posOffset>
            </wp:positionV>
            <wp:extent cx="5323205" cy="1525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2320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Compensation Governance Highlights</w:t>
      </w:r>
    </w:p>
    <w:p>
      <w:pPr>
        <w:spacing w:after="0" w:line="221" w:lineRule="exact"/>
        <w:rPr>
          <w:sz w:val="20"/>
          <w:szCs w:val="20"/>
          <w:color w:val="auto"/>
        </w:rPr>
      </w:pPr>
    </w:p>
    <w:p>
      <w:pPr>
        <w:spacing w:after="0"/>
        <w:tabs>
          <w:tab w:leader="none" w:pos="5840" w:val="left"/>
        </w:tabs>
        <w:rPr>
          <w:sz w:val="20"/>
          <w:szCs w:val="20"/>
          <w:color w:val="auto"/>
        </w:rPr>
      </w:pPr>
      <w:r>
        <w:rPr>
          <w:rFonts w:ascii="Arial" w:cs="Arial" w:eastAsia="Arial" w:hAnsi="Arial"/>
          <w:sz w:val="13"/>
          <w:szCs w:val="13"/>
          <w:b w:val="1"/>
          <w:bCs w:val="1"/>
          <w:color w:val="auto"/>
        </w:rPr>
        <w:t>What We Do</w:t>
      </w:r>
      <w:r>
        <w:rPr>
          <w:sz w:val="20"/>
          <w:szCs w:val="20"/>
          <w:color w:val="auto"/>
        </w:rPr>
        <w:tab/>
      </w:r>
      <w:r>
        <w:rPr>
          <w:rFonts w:ascii="Arial" w:cs="Arial" w:eastAsia="Arial" w:hAnsi="Arial"/>
          <w:sz w:val="12"/>
          <w:szCs w:val="12"/>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111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25" w:lineRule="exact"/>
        <w:rPr>
          <w:sz w:val="20"/>
          <w:szCs w:val="20"/>
          <w:color w:val="auto"/>
        </w:rPr>
      </w:pPr>
    </w:p>
    <w:p>
      <w:pPr>
        <w:ind w:right="340"/>
        <w:spacing w:after="0" w:line="253" w:lineRule="auto"/>
        <w:rPr>
          <w:sz w:val="20"/>
          <w:szCs w:val="20"/>
          <w:color w:val="auto"/>
        </w:rPr>
      </w:pPr>
      <w:r>
        <w:rPr>
          <w:sz w:val="1"/>
          <w:szCs w:val="1"/>
          <w:color w:val="auto"/>
        </w:rPr>
        <w:drawing>
          <wp:inline distT="0" distB="0" distL="0" distR="0">
            <wp:extent cx="137160" cy="1371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Executive compensation program tied to our financial and operating performance and designed to create value for</w:t>
      </w:r>
    </w:p>
    <w:p>
      <w:pPr>
        <w:ind w:left="360"/>
        <w:spacing w:after="0"/>
        <w:rPr>
          <w:sz w:val="20"/>
          <w:szCs w:val="20"/>
          <w:color w:val="auto"/>
        </w:rPr>
      </w:pPr>
      <w:r>
        <w:rPr>
          <w:rFonts w:ascii="Arial" w:cs="Arial" w:eastAsia="Arial" w:hAnsi="Arial"/>
          <w:sz w:val="16"/>
          <w:szCs w:val="16"/>
          <w:color w:val="auto"/>
        </w:rPr>
        <w:t>our shareholders, employees, customers and other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3716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Use performance measures that are aligned with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3716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Require minimum vesting of at least one-year under our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3716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8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Monitor our compensation programs for risk-taking incentives</w:t>
      </w:r>
    </w:p>
    <w:p>
      <w:pPr>
        <w:spacing w:after="0" w:line="233" w:lineRule="exact"/>
        <w:rPr>
          <w:sz w:val="20"/>
          <w:szCs w:val="20"/>
          <w:color w:val="auto"/>
        </w:rPr>
      </w:pPr>
    </w:p>
    <w:p>
      <w:pPr>
        <w:ind w:right="400"/>
        <w:spacing w:after="0" w:line="269" w:lineRule="auto"/>
        <w:rPr>
          <w:sz w:val="20"/>
          <w:szCs w:val="20"/>
          <w:color w:val="auto"/>
        </w:rPr>
      </w:pPr>
      <w:r>
        <w:rPr>
          <w:sz w:val="1"/>
          <w:szCs w:val="1"/>
          <w:color w:val="auto"/>
        </w:rPr>
        <w:drawing>
          <wp:inline distT="0" distB="0" distL="0" distR="0">
            <wp:extent cx="137160" cy="1371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Maintain robust stock ownership guidelines applicable to executive officers</w:t>
      </w:r>
    </w:p>
    <w:p>
      <w:pPr>
        <w:spacing w:after="0" w:line="191" w:lineRule="exact"/>
        <w:rPr>
          <w:sz w:val="20"/>
          <w:szCs w:val="20"/>
          <w:color w:val="auto"/>
        </w:rPr>
      </w:pPr>
    </w:p>
    <w:p>
      <w:pPr>
        <w:ind w:right="160"/>
        <w:spacing w:after="0" w:line="269" w:lineRule="auto"/>
        <w:rPr>
          <w:sz w:val="20"/>
          <w:szCs w:val="20"/>
          <w:color w:val="auto"/>
        </w:rPr>
      </w:pPr>
      <w:r>
        <w:rPr>
          <w:sz w:val="1"/>
          <w:szCs w:val="1"/>
          <w:color w:val="auto"/>
        </w:rPr>
        <w:drawing>
          <wp:inline distT="0" distB="0" distL="0" distR="0">
            <wp:extent cx="137160" cy="1371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Maintain rigorous stock retention requirements applicable to executive officers</w:t>
      </w:r>
    </w:p>
    <w:p>
      <w:pPr>
        <w:spacing w:after="0" w:line="191" w:lineRule="exact"/>
        <w:rPr>
          <w:sz w:val="20"/>
          <w:szCs w:val="20"/>
          <w:color w:val="auto"/>
        </w:rPr>
      </w:pPr>
    </w:p>
    <w:p>
      <w:pPr>
        <w:ind w:right="140"/>
        <w:spacing w:after="0" w:line="269" w:lineRule="auto"/>
        <w:rPr>
          <w:sz w:val="20"/>
          <w:szCs w:val="20"/>
          <w:color w:val="auto"/>
        </w:rPr>
      </w:pPr>
      <w:r>
        <w:rPr>
          <w:sz w:val="1"/>
          <w:szCs w:val="1"/>
          <w:color w:val="auto"/>
        </w:rPr>
        <w:drawing>
          <wp:inline distT="0" distB="0" distL="0" distR="0">
            <wp:extent cx="137160" cy="1371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Prohibit hedging of shares by executive officers, directors and all other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Our Performance in 2019</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 guaranteed bonuses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No tax gross 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-125730</wp:posOffset>
            </wp:positionV>
            <wp:extent cx="137160" cy="1028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-125730</wp:posOffset>
            </wp:positionV>
            <wp:extent cx="137160" cy="1028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single-trigger vesting of awards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-111125</wp:posOffset>
            </wp:positionV>
            <wp:extent cx="137160" cy="1028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 repricing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-125730</wp:posOffset>
            </wp:positionV>
            <wp:extent cx="137160" cy="1028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liberal share recycling under our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-125730</wp:posOffset>
            </wp:positionV>
            <wp:extent cx="137160" cy="1028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liberal definition of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-125730</wp:posOffset>
            </wp:positionV>
            <wp:extent cx="137160" cy="1028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payment of dividends on unvested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-125730</wp:posOffset>
            </wp:positionV>
            <wp:extent cx="137160" cy="1028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1657" w:lineRule="exact"/>
        <w:rPr>
          <w:sz w:val="20"/>
          <w:szCs w:val="20"/>
          <w:color w:val="auto"/>
        </w:rPr>
      </w:pPr>
    </w:p>
    <w:p>
      <w:pPr>
        <w:sectPr>
          <w:pgSz w:w="11900" w:h="16838" w:orient="portrait"/>
          <w:cols w:equalWidth="0" w:num="2">
            <w:col w:w="5480" w:space="720"/>
            <w:col w:w="5040"/>
          </w:cols>
          <w:pgMar w:left="320" w:top="131" w:right="339" w:bottom="1440" w:gutter="0" w:footer="0" w:header="0"/>
          <w:type w:val="continuous"/>
        </w:sectPr>
      </w:pPr>
    </w:p>
    <w:p>
      <w:pPr>
        <w:spacing w:after="0" w:line="25" w:lineRule="exact"/>
        <w:rPr>
          <w:sz w:val="20"/>
          <w:szCs w:val="20"/>
          <w:color w:val="auto"/>
        </w:rPr>
      </w:pPr>
    </w:p>
    <w:p>
      <w:pPr>
        <w:ind w:firstLine="614"/>
        <w:spacing w:after="0" w:line="282" w:lineRule="auto"/>
        <w:rPr>
          <w:sz w:val="20"/>
          <w:szCs w:val="20"/>
          <w:color w:val="auto"/>
        </w:rPr>
      </w:pPr>
      <w:r>
        <w:rPr>
          <w:rFonts w:ascii="Arial" w:cs="Arial" w:eastAsia="Arial" w:hAnsi="Arial"/>
          <w:sz w:val="16"/>
          <w:szCs w:val="16"/>
          <w:color w:val="auto"/>
        </w:rPr>
        <w:t>In 2019, our management team continued to successfully advance our key objectives of sharpening our portfolio, driving aggressive organic growth and increasing operating leverage. We further rationalized our portfolio of businesses, exiting certain non-core business activities in our land segment, and continued to focus on our core competencies, shifting towards businesses and opportunities that we believe are capable of producing more ratable, sustainable and scalable profits that will ultimately deliver greater shareholder value over the long-term. Our marine segment also performed exceptionally well, generating some of its strongest results in years that were largely attributable to our management's efforts to right-size the business, refine the portfolio and focus on driving stronger returns. Our technical expertise also enabled us to help customers navigate increased fuel price volatility, as well as the risks related to product availability and logistics that arose as a result of the implementation of the International Maritime Organization's low sulfur fuel regulations that went into effect on January 1, 2020.</w:t>
      </w:r>
    </w:p>
    <w:p>
      <w:pPr>
        <w:spacing w:after="0" w:line="5"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4"/>
        <w:spacing w:after="0" w:line="254" w:lineRule="auto"/>
        <w:rPr>
          <w:sz w:val="20"/>
          <w:szCs w:val="20"/>
          <w:color w:val="auto"/>
        </w:rPr>
      </w:pPr>
      <w:r>
        <w:rPr>
          <w:rFonts w:ascii="Arial" w:cs="Arial" w:eastAsia="Arial" w:hAnsi="Arial"/>
          <w:sz w:val="18"/>
          <w:szCs w:val="18"/>
          <w:color w:val="auto"/>
        </w:rPr>
        <w:t>In addition, the cost discipline and restructuring activities that began at the end of 2017 yielded improvements in our operating leverage and market segmentation, which enabled an increase in gross profit despite a decline in volume. Our aviation segment delivered a solid increase in year-over-year results, driven by a strong contribution from government-related activity and strength in our core commercial and general aviation offerings. This was further supported by our management's focus on improving our global logistics capability, expanding our fuel operations footprint and making further enhancements to our non-fuel service offerings.</w:t>
      </w:r>
    </w:p>
    <w:p>
      <w:pPr>
        <w:spacing w:after="0" w:line="201" w:lineRule="exact"/>
        <w:rPr>
          <w:sz w:val="20"/>
          <w:szCs w:val="20"/>
          <w:color w:val="auto"/>
        </w:rPr>
      </w:pPr>
    </w:p>
    <w:p>
      <w:pPr>
        <w:jc w:val="both"/>
        <w:ind w:right="200" w:firstLine="605"/>
        <w:spacing w:after="0" w:line="259" w:lineRule="auto"/>
        <w:rPr>
          <w:sz w:val="20"/>
          <w:szCs w:val="20"/>
          <w:color w:val="auto"/>
        </w:rPr>
      </w:pPr>
      <w:r>
        <w:rPr>
          <w:rFonts w:ascii="Arial" w:cs="Arial" w:eastAsia="Arial" w:hAnsi="Arial"/>
          <w:sz w:val="18"/>
          <w:szCs w:val="18"/>
          <w:color w:val="auto"/>
        </w:rPr>
        <w:t>All of the foregoing ultimately contributed to a significant increase in our earnings before interest, taxes, depreciation and amortization ("EBITDA") for 2019 as compared to the previous year, which resulted in our NEOs earning higher payouts under our annual incentive compensation program, consistent with our pay-for-performance philosophy.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Say-on-Pay Vote and Shareholder Engagement</w:t>
      </w:r>
    </w:p>
    <w:p>
      <w:pPr>
        <w:spacing w:after="0" w:line="225" w:lineRule="exact"/>
        <w:rPr>
          <w:sz w:val="20"/>
          <w:szCs w:val="20"/>
          <w:color w:val="auto"/>
        </w:rPr>
      </w:pPr>
    </w:p>
    <w:p>
      <w:pPr>
        <w:ind w:right="20" w:firstLine="605"/>
        <w:spacing w:after="0" w:line="291" w:lineRule="auto"/>
        <w:rPr>
          <w:sz w:val="20"/>
          <w:szCs w:val="20"/>
          <w:color w:val="auto"/>
        </w:rPr>
      </w:pPr>
      <w:r>
        <w:rPr>
          <w:rFonts w:ascii="Arial" w:cs="Arial" w:eastAsia="Arial" w:hAnsi="Arial"/>
          <w:sz w:val="16"/>
          <w:szCs w:val="16"/>
          <w:color w:val="auto"/>
        </w:rPr>
        <w:t>At our 2019 annual meeting of shareholders, we sought and received approval from 93.6% of votes cast (excluding abstentions), on a non-binding, advisory basis, of the 2018 compensation of our NEOs. We regularly engage with our shareholders to understand better their perspectives on our compensation programs. As discussed above under "Shareholder Engagement" on page 13, during 2019 we interacted with 18 of the 25 largest holders of our common stock, representing approximately 50% percent of our shares outstanding. In the past, shareholder feedback has led to changes to our incentive compensation program, such as modifying our long-term incentive compensation program to enhance predictability and shareholder alignment through the adoption of annual grants of equity with multi-year performance periods.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Executive Compensation Philosophy and Objectives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Pay for Performance Alignment</w:t>
      </w:r>
    </w:p>
    <w:p>
      <w:pPr>
        <w:spacing w:after="0" w:line="225" w:lineRule="exact"/>
        <w:rPr>
          <w:sz w:val="20"/>
          <w:szCs w:val="20"/>
          <w:color w:val="auto"/>
        </w:rPr>
      </w:pPr>
    </w:p>
    <w:p>
      <w:pPr>
        <w:jc w:val="both"/>
        <w:ind w:right="40" w:firstLine="605"/>
        <w:spacing w:after="0" w:line="298" w:lineRule="auto"/>
        <w:rPr>
          <w:sz w:val="20"/>
          <w:szCs w:val="20"/>
          <w:color w:val="auto"/>
        </w:rPr>
      </w:pPr>
      <w:r>
        <w:rPr>
          <w:rFonts w:ascii="Arial" w:cs="Arial" w:eastAsia="Arial" w:hAnsi="Arial"/>
          <w:sz w:val="16"/>
          <w:szCs w:val="16"/>
          <w:color w:val="auto"/>
        </w:rPr>
        <w:t>A guiding principle of our compensation philosophy is that the compensation of our NEOs should be closely linked with, and reasonable in relation to, the level of shareholder value created through the Company's financial, operating and strategic performance. The Compensation Committee (the "Committee") believes that the use of incentive compensation, particularly equity-based awards, together with stock ownership and retention guidelines are effective methods for motivating our executives and aligning their interests with those of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Performance Metrics Aligned with Value Creation</w:t>
      </w:r>
    </w:p>
    <w:p>
      <w:pPr>
        <w:spacing w:after="0" w:line="225" w:lineRule="exact"/>
        <w:rPr>
          <w:sz w:val="20"/>
          <w:szCs w:val="20"/>
          <w:color w:val="auto"/>
        </w:rPr>
      </w:pPr>
    </w:p>
    <w:p>
      <w:pPr>
        <w:ind w:right="120" w:firstLine="614"/>
        <w:spacing w:after="0" w:line="290" w:lineRule="auto"/>
        <w:rPr>
          <w:sz w:val="20"/>
          <w:szCs w:val="20"/>
          <w:color w:val="auto"/>
        </w:rPr>
      </w:pPr>
      <w:r>
        <w:rPr>
          <w:rFonts w:ascii="Arial" w:cs="Arial" w:eastAsia="Arial" w:hAnsi="Arial"/>
          <w:sz w:val="16"/>
          <w:szCs w:val="16"/>
          <w:color w:val="auto"/>
        </w:rPr>
        <w:t>Consistent with our objective of rewarding shareholder value creation, we select performance metrics that we believe, if achieved, will translate into strong financial performance both in the short- and long-term, thereby resulting in higher share prices. As a result, we principally use annual financial metrics, such as our EBITDA and operating income ("Operating Income") for key "lines of sight", or LOS, to reward our NEOs. Our long-term incentive financial metrics consist of three-year growth in EPS ("EPS Growth") and beginning in 2019, as modified by our return on invested capital ("ROIC"). In addition, to a lesser extent, we reward achievement of individual performance strategic objectives that will drive long-term benefits and sustainable value. Due to the variability of business conditions within the industries in which we operate, we believe it is important that our compensation program be designed to measure and reward short-term, long-term and multi-year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Ensuring Retention and Continued Engagement through Multi-Year Vesting Requirements</w:t>
      </w:r>
    </w:p>
    <w:p>
      <w:pPr>
        <w:spacing w:after="0" w:line="225" w:lineRule="exact"/>
        <w:rPr>
          <w:sz w:val="20"/>
          <w:szCs w:val="20"/>
          <w:color w:val="auto"/>
        </w:rPr>
      </w:pPr>
    </w:p>
    <w:p>
      <w:pPr>
        <w:ind w:right="560" w:firstLine="614"/>
        <w:spacing w:after="0" w:line="254" w:lineRule="auto"/>
        <w:rPr>
          <w:sz w:val="20"/>
          <w:szCs w:val="20"/>
          <w:color w:val="auto"/>
        </w:rPr>
      </w:pPr>
      <w:r>
        <w:rPr>
          <w:rFonts w:ascii="Arial" w:cs="Arial" w:eastAsia="Arial" w:hAnsi="Arial"/>
          <w:sz w:val="18"/>
          <w:szCs w:val="18"/>
          <w:color w:val="auto"/>
        </w:rPr>
        <w:t>In order to promote retention of our NEOs and provide further incentive for creating shareholder value, we believe NEOs should be required to provide services over multi-year periods in</w:t>
      </w: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order to vest in equity-based awards. Consequently, all of the equity awards granted to our NEOs in 2019 vest over a three-year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Strong Compensation-Related Corporate Governance Policies</w:t>
      </w:r>
    </w:p>
    <w:p>
      <w:pPr>
        <w:spacing w:after="0" w:line="225" w:lineRule="exact"/>
        <w:rPr>
          <w:sz w:val="20"/>
          <w:szCs w:val="20"/>
          <w:color w:val="auto"/>
        </w:rPr>
      </w:pPr>
    </w:p>
    <w:p>
      <w:pPr>
        <w:ind w:right="20" w:firstLine="611"/>
        <w:spacing w:after="0" w:line="331" w:lineRule="auto"/>
        <w:rPr>
          <w:sz w:val="20"/>
          <w:szCs w:val="20"/>
          <w:color w:val="auto"/>
        </w:rPr>
      </w:pPr>
      <w:r>
        <w:rPr>
          <w:rFonts w:ascii="Arial" w:cs="Arial" w:eastAsia="Arial" w:hAnsi="Arial"/>
          <w:sz w:val="16"/>
          <w:szCs w:val="16"/>
          <w:color w:val="auto"/>
        </w:rPr>
        <w:t>To ensure continued alignment of compensation with Company performance and the creation of shareholder value without encouraging excessive risk-taking, our Committee has adopted strong compensation-related corporate governance policies, including the following:</w:t>
      </w:r>
    </w:p>
    <w:p>
      <w:pPr>
        <w:spacing w:after="0" w:line="129" w:lineRule="exact"/>
        <w:rPr>
          <w:sz w:val="20"/>
          <w:szCs w:val="20"/>
          <w:color w:val="auto"/>
        </w:rPr>
      </w:pPr>
    </w:p>
    <w:tbl>
      <w:tblPr>
        <w:tblLayout w:type="fixed"/>
        <w:tblInd w:w="1360" w:type="dxa"/>
        <w:tblCellMar>
          <w:top w:w="0" w:type="dxa"/>
          <w:left w:w="0" w:type="dxa"/>
          <w:bottom w:w="0" w:type="dxa"/>
          <w:right w:w="0" w:type="dxa"/>
        </w:tblCellMar>
      </w:tblPr>
      <w:tr>
        <w:trPr>
          <w:trHeight w:val="242"/>
        </w:trPr>
        <w:tc>
          <w:tcPr>
            <w:tcW w:w="1440" w:type="dxa"/>
            <w:vAlign w:val="bottom"/>
            <w:tcBorders>
              <w:top w:val="single" w:sz="8" w:color="0048E0"/>
            </w:tcBorders>
          </w:tcPr>
          <w:p>
            <w:pPr>
              <w:ind w:left="280"/>
              <w:spacing w:after="0"/>
              <w:rPr>
                <w:sz w:val="20"/>
                <w:szCs w:val="20"/>
                <w:color w:val="auto"/>
              </w:rPr>
            </w:pPr>
            <w:r>
              <w:rPr>
                <w:rFonts w:ascii="Arial" w:cs="Arial" w:eastAsia="Arial" w:hAnsi="Arial"/>
                <w:sz w:val="18"/>
                <w:szCs w:val="18"/>
                <w:b w:val="1"/>
                <w:bCs w:val="1"/>
                <w:color w:val="auto"/>
              </w:rPr>
              <w:t>Negative</w:t>
            </w:r>
          </w:p>
        </w:tc>
        <w:tc>
          <w:tcPr>
            <w:tcW w:w="6980" w:type="dxa"/>
            <w:vAlign w:val="bottom"/>
            <w:tcBorders>
              <w:top w:val="single" w:sz="8" w:color="0048E0"/>
            </w:tcBorders>
            <w:gridSpan w:val="2"/>
          </w:tcPr>
          <w:p>
            <w:pPr>
              <w:ind w:left="100"/>
              <w:spacing w:after="0"/>
              <w:rPr>
                <w:sz w:val="20"/>
                <w:szCs w:val="20"/>
                <w:color w:val="auto"/>
              </w:rPr>
            </w:pPr>
            <w:r>
              <w:rPr>
                <w:rFonts w:ascii="Arial" w:cs="Arial" w:eastAsia="Arial" w:hAnsi="Arial"/>
                <w:sz w:val="18"/>
                <w:szCs w:val="18"/>
                <w:color w:val="auto"/>
                <w:w w:val="96"/>
              </w:rPr>
              <w:t>The Committee can use "negative discretion" to reduce payouts, such as in the event of a</w:t>
            </w:r>
          </w:p>
        </w:tc>
        <w:tc>
          <w:tcPr>
            <w:tcW w:w="0" w:type="dxa"/>
            <w:vAlign w:val="bottom"/>
          </w:tcPr>
          <w:p>
            <w:pPr>
              <w:spacing w:after="0"/>
              <w:rPr>
                <w:sz w:val="1"/>
                <w:szCs w:val="1"/>
                <w:color w:val="auto"/>
              </w:rPr>
            </w:pPr>
          </w:p>
        </w:tc>
      </w:tr>
      <w:tr>
        <w:trPr>
          <w:trHeight w:val="216"/>
        </w:trPr>
        <w:tc>
          <w:tcPr>
            <w:tcW w:w="1440" w:type="dxa"/>
            <w:vAlign w:val="bottom"/>
          </w:tcPr>
          <w:p>
            <w:pPr>
              <w:ind w:left="280"/>
              <w:spacing w:after="0"/>
              <w:rPr>
                <w:sz w:val="20"/>
                <w:szCs w:val="20"/>
                <w:color w:val="auto"/>
              </w:rPr>
            </w:pPr>
            <w:r>
              <w:rPr>
                <w:rFonts w:ascii="Arial" w:cs="Arial" w:eastAsia="Arial" w:hAnsi="Arial"/>
                <w:sz w:val="18"/>
                <w:szCs w:val="18"/>
                <w:b w:val="1"/>
                <w:bCs w:val="1"/>
                <w:color w:val="auto"/>
                <w:w w:val="99"/>
              </w:rPr>
              <w:t>Discretion on</w:t>
            </w:r>
          </w:p>
        </w:tc>
        <w:tc>
          <w:tcPr>
            <w:tcW w:w="6980" w:type="dxa"/>
            <w:vAlign w:val="bottom"/>
            <w:gridSpan w:val="2"/>
          </w:tcPr>
          <w:p>
            <w:pPr>
              <w:ind w:left="100"/>
              <w:spacing w:after="0"/>
              <w:rPr>
                <w:sz w:val="20"/>
                <w:szCs w:val="20"/>
                <w:color w:val="auto"/>
              </w:rPr>
            </w:pPr>
            <w:r>
              <w:rPr>
                <w:rFonts w:ascii="Arial" w:cs="Arial" w:eastAsia="Arial" w:hAnsi="Arial"/>
                <w:sz w:val="18"/>
                <w:szCs w:val="18"/>
                <w:color w:val="auto"/>
                <w:w w:val="97"/>
              </w:rPr>
              <w:t>significant disconnect between compensation and Company and individual performance.</w:t>
            </w:r>
          </w:p>
        </w:tc>
        <w:tc>
          <w:tcPr>
            <w:tcW w:w="0" w:type="dxa"/>
            <w:vAlign w:val="bottom"/>
          </w:tcPr>
          <w:p>
            <w:pPr>
              <w:spacing w:after="0"/>
              <w:rPr>
                <w:sz w:val="1"/>
                <w:szCs w:val="1"/>
                <w:color w:val="auto"/>
              </w:rPr>
            </w:pPr>
          </w:p>
        </w:tc>
      </w:tr>
      <w:tr>
        <w:trPr>
          <w:trHeight w:val="216"/>
        </w:trPr>
        <w:tc>
          <w:tcPr>
            <w:tcW w:w="1440" w:type="dxa"/>
            <w:vAlign w:val="bottom"/>
          </w:tcPr>
          <w:p>
            <w:pPr>
              <w:ind w:left="280"/>
              <w:spacing w:after="0"/>
              <w:rPr>
                <w:sz w:val="20"/>
                <w:szCs w:val="20"/>
                <w:color w:val="auto"/>
              </w:rPr>
            </w:pPr>
            <w:r>
              <w:rPr>
                <w:rFonts w:ascii="Arial" w:cs="Arial" w:eastAsia="Arial" w:hAnsi="Arial"/>
                <w:sz w:val="18"/>
                <w:szCs w:val="18"/>
                <w:b w:val="1"/>
                <w:bCs w:val="1"/>
                <w:color w:val="auto"/>
              </w:rPr>
              <w:t>Annual</w:t>
            </w:r>
          </w:p>
        </w:tc>
        <w:tc>
          <w:tcPr>
            <w:tcW w:w="26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40" w:type="dxa"/>
            <w:vAlign w:val="bottom"/>
          </w:tcPr>
          <w:p>
            <w:pPr>
              <w:ind w:left="280"/>
              <w:spacing w:after="0"/>
              <w:rPr>
                <w:sz w:val="20"/>
                <w:szCs w:val="20"/>
                <w:color w:val="auto"/>
              </w:rPr>
            </w:pPr>
            <w:r>
              <w:rPr>
                <w:rFonts w:ascii="Arial" w:cs="Arial" w:eastAsia="Arial" w:hAnsi="Arial"/>
                <w:sz w:val="18"/>
                <w:szCs w:val="18"/>
                <w:b w:val="1"/>
                <w:bCs w:val="1"/>
                <w:color w:val="auto"/>
                <w:w w:val="91"/>
              </w:rPr>
              <w:t>Compensation</w:t>
            </w:r>
          </w:p>
        </w:tc>
        <w:tc>
          <w:tcPr>
            <w:tcW w:w="26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1440" w:type="dxa"/>
            <w:vAlign w:val="bottom"/>
            <w:shd w:val="clear" w:color="auto" w:fill="D1D7EB"/>
          </w:tcPr>
          <w:p>
            <w:pPr>
              <w:ind w:left="280"/>
              <w:spacing w:after="0"/>
              <w:rPr>
                <w:sz w:val="20"/>
                <w:szCs w:val="20"/>
                <w:color w:val="auto"/>
              </w:rPr>
            </w:pPr>
            <w:r>
              <w:rPr>
                <w:rFonts w:ascii="Arial" w:cs="Arial" w:eastAsia="Arial" w:hAnsi="Arial"/>
                <w:sz w:val="18"/>
                <w:szCs w:val="18"/>
                <w:b w:val="1"/>
                <w:bCs w:val="1"/>
                <w:color w:val="auto"/>
              </w:rPr>
              <w:t>Cap on</w:t>
            </w:r>
          </w:p>
        </w:tc>
        <w:tc>
          <w:tcPr>
            <w:tcW w:w="6980" w:type="dxa"/>
            <w:vAlign w:val="bottom"/>
            <w:gridSpan w:val="2"/>
            <w:shd w:val="clear" w:color="auto" w:fill="D1D7EB"/>
          </w:tcPr>
          <w:p>
            <w:pPr>
              <w:ind w:left="100"/>
              <w:spacing w:after="0"/>
              <w:rPr>
                <w:sz w:val="20"/>
                <w:szCs w:val="20"/>
                <w:color w:val="auto"/>
              </w:rPr>
            </w:pPr>
            <w:r>
              <w:rPr>
                <w:rFonts w:ascii="Arial" w:cs="Arial" w:eastAsia="Arial" w:hAnsi="Arial"/>
                <w:sz w:val="18"/>
                <w:szCs w:val="18"/>
                <w:color w:val="auto"/>
                <w:w w:val="93"/>
              </w:rPr>
              <w:t>Annual cash and equity performance-based awards under our annual incentive program are</w:t>
            </w:r>
          </w:p>
        </w:tc>
        <w:tc>
          <w:tcPr>
            <w:tcW w:w="0" w:type="dxa"/>
            <w:vAlign w:val="bottom"/>
          </w:tcPr>
          <w:p>
            <w:pPr>
              <w:spacing w:after="0"/>
              <w:rPr>
                <w:sz w:val="1"/>
                <w:szCs w:val="1"/>
                <w:color w:val="auto"/>
              </w:rPr>
            </w:pPr>
          </w:p>
        </w:tc>
      </w:tr>
      <w:tr>
        <w:trPr>
          <w:trHeight w:val="216"/>
        </w:trPr>
        <w:tc>
          <w:tcPr>
            <w:tcW w:w="1440" w:type="dxa"/>
            <w:vAlign w:val="bottom"/>
            <w:shd w:val="clear" w:color="auto" w:fill="D1D7EB"/>
          </w:tcPr>
          <w:p>
            <w:pPr>
              <w:ind w:left="280"/>
              <w:spacing w:after="0"/>
              <w:rPr>
                <w:sz w:val="20"/>
                <w:szCs w:val="20"/>
                <w:color w:val="auto"/>
              </w:rPr>
            </w:pPr>
            <w:r>
              <w:rPr>
                <w:rFonts w:ascii="Arial" w:cs="Arial" w:eastAsia="Arial" w:hAnsi="Arial"/>
                <w:sz w:val="18"/>
                <w:szCs w:val="18"/>
                <w:b w:val="1"/>
                <w:bCs w:val="1"/>
                <w:color w:val="auto"/>
              </w:rPr>
              <w:t>Annual</w:t>
            </w:r>
          </w:p>
        </w:tc>
        <w:tc>
          <w:tcPr>
            <w:tcW w:w="6980" w:type="dxa"/>
            <w:vAlign w:val="bottom"/>
            <w:gridSpan w:val="2"/>
            <w:shd w:val="clear" w:color="auto" w:fill="D1D7EB"/>
          </w:tcPr>
          <w:p>
            <w:pPr>
              <w:ind w:left="100"/>
              <w:spacing w:after="0"/>
              <w:rPr>
                <w:sz w:val="20"/>
                <w:szCs w:val="20"/>
                <w:color w:val="auto"/>
              </w:rPr>
            </w:pPr>
            <w:r>
              <w:rPr>
                <w:rFonts w:ascii="Arial" w:cs="Arial" w:eastAsia="Arial" w:hAnsi="Arial"/>
                <w:sz w:val="18"/>
                <w:szCs w:val="18"/>
                <w:color w:val="auto"/>
                <w:w w:val="97"/>
              </w:rPr>
              <w:t>subject to a maximum, which serves to limit the total direct compensation opportunity, or</w:t>
            </w:r>
          </w:p>
        </w:tc>
        <w:tc>
          <w:tcPr>
            <w:tcW w:w="0" w:type="dxa"/>
            <w:vAlign w:val="bottom"/>
          </w:tcPr>
          <w:p>
            <w:pPr>
              <w:spacing w:after="0"/>
              <w:rPr>
                <w:sz w:val="1"/>
                <w:szCs w:val="1"/>
                <w:color w:val="auto"/>
              </w:rPr>
            </w:pPr>
          </w:p>
        </w:tc>
      </w:tr>
      <w:tr>
        <w:trPr>
          <w:trHeight w:val="216"/>
        </w:trPr>
        <w:tc>
          <w:tcPr>
            <w:tcW w:w="1440" w:type="dxa"/>
            <w:vAlign w:val="bottom"/>
            <w:shd w:val="clear" w:color="auto" w:fill="D1D7EB"/>
          </w:tcPr>
          <w:p>
            <w:pPr>
              <w:ind w:left="280"/>
              <w:spacing w:after="0"/>
              <w:rPr>
                <w:sz w:val="20"/>
                <w:szCs w:val="20"/>
                <w:color w:val="auto"/>
              </w:rPr>
            </w:pPr>
            <w:r>
              <w:rPr>
                <w:rFonts w:ascii="Arial" w:cs="Arial" w:eastAsia="Arial" w:hAnsi="Arial"/>
                <w:sz w:val="18"/>
                <w:szCs w:val="18"/>
                <w:b w:val="1"/>
                <w:bCs w:val="1"/>
                <w:color w:val="auto"/>
              </w:rPr>
              <w:t>Incentive</w:t>
            </w:r>
          </w:p>
        </w:tc>
        <w:tc>
          <w:tcPr>
            <w:tcW w:w="6980" w:type="dxa"/>
            <w:vAlign w:val="bottom"/>
            <w:gridSpan w:val="2"/>
            <w:shd w:val="clear" w:color="auto" w:fill="D1D7EB"/>
          </w:tcPr>
          <w:p>
            <w:pPr>
              <w:ind w:left="100"/>
              <w:spacing w:after="0"/>
              <w:rPr>
                <w:sz w:val="20"/>
                <w:szCs w:val="20"/>
                <w:color w:val="auto"/>
              </w:rPr>
            </w:pPr>
            <w:r>
              <w:rPr>
                <w:rFonts w:ascii="Arial" w:cs="Arial" w:eastAsia="Arial" w:hAnsi="Arial"/>
                <w:sz w:val="18"/>
                <w:szCs w:val="18"/>
                <w:color w:val="auto"/>
              </w:rPr>
              <w:t>TDC, that can be earned by any of our NEOs.</w:t>
            </w:r>
          </w:p>
        </w:tc>
        <w:tc>
          <w:tcPr>
            <w:tcW w:w="0" w:type="dxa"/>
            <w:vAlign w:val="bottom"/>
          </w:tcPr>
          <w:p>
            <w:pPr>
              <w:spacing w:after="0"/>
              <w:rPr>
                <w:sz w:val="1"/>
                <w:szCs w:val="1"/>
                <w:color w:val="auto"/>
              </w:rPr>
            </w:pPr>
          </w:p>
        </w:tc>
      </w:tr>
      <w:tr>
        <w:trPr>
          <w:trHeight w:val="230"/>
        </w:trPr>
        <w:tc>
          <w:tcPr>
            <w:tcW w:w="1440" w:type="dxa"/>
            <w:vAlign w:val="bottom"/>
            <w:shd w:val="clear" w:color="auto" w:fill="D1D7EB"/>
          </w:tcPr>
          <w:p>
            <w:pPr>
              <w:ind w:left="280"/>
              <w:spacing w:after="0"/>
              <w:rPr>
                <w:sz w:val="20"/>
                <w:szCs w:val="20"/>
                <w:color w:val="auto"/>
              </w:rPr>
            </w:pPr>
            <w:r>
              <w:rPr>
                <w:rFonts w:ascii="Arial" w:cs="Arial" w:eastAsia="Arial" w:hAnsi="Arial"/>
                <w:sz w:val="18"/>
                <w:szCs w:val="18"/>
                <w:b w:val="1"/>
                <w:bCs w:val="1"/>
                <w:color w:val="auto"/>
              </w:rPr>
              <w:t>Awards</w:t>
            </w:r>
          </w:p>
        </w:tc>
        <w:tc>
          <w:tcPr>
            <w:tcW w:w="2660" w:type="dxa"/>
            <w:vAlign w:val="bottom"/>
            <w:shd w:val="clear" w:color="auto" w:fill="D1D7EB"/>
          </w:tcPr>
          <w:p>
            <w:pPr>
              <w:spacing w:after="0"/>
              <w:rPr>
                <w:sz w:val="20"/>
                <w:szCs w:val="20"/>
                <w:color w:val="auto"/>
              </w:rPr>
            </w:pPr>
          </w:p>
        </w:tc>
        <w:tc>
          <w:tcPr>
            <w:tcW w:w="4320" w:type="dxa"/>
            <w:vAlign w:val="bottom"/>
            <w:shd w:val="clear" w:color="auto" w:fill="D1D7EB"/>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440" w:type="dxa"/>
            <w:vAlign w:val="bottom"/>
          </w:tcPr>
          <w:p>
            <w:pPr>
              <w:ind w:left="280"/>
              <w:spacing w:after="0"/>
              <w:rPr>
                <w:sz w:val="20"/>
                <w:szCs w:val="20"/>
                <w:color w:val="auto"/>
              </w:rPr>
            </w:pPr>
            <w:r>
              <w:rPr>
                <w:rFonts w:ascii="Arial" w:cs="Arial" w:eastAsia="Arial" w:hAnsi="Arial"/>
                <w:sz w:val="18"/>
                <w:szCs w:val="18"/>
                <w:b w:val="1"/>
                <w:bCs w:val="1"/>
                <w:color w:val="auto"/>
              </w:rPr>
              <w:t>Stock</w:t>
            </w:r>
          </w:p>
        </w:tc>
        <w:tc>
          <w:tcPr>
            <w:tcW w:w="6980" w:type="dxa"/>
            <w:vAlign w:val="bottom"/>
            <w:gridSpan w:val="2"/>
          </w:tcPr>
          <w:p>
            <w:pPr>
              <w:ind w:left="100"/>
              <w:spacing w:after="0"/>
              <w:rPr>
                <w:sz w:val="20"/>
                <w:szCs w:val="20"/>
                <w:color w:val="auto"/>
              </w:rPr>
            </w:pPr>
            <w:r>
              <w:rPr>
                <w:rFonts w:ascii="Arial" w:cs="Arial" w:eastAsia="Arial" w:hAnsi="Arial"/>
                <w:sz w:val="18"/>
                <w:szCs w:val="18"/>
                <w:color w:val="auto"/>
                <w:w w:val="96"/>
              </w:rPr>
              <w:t>Our executive officers are subject to robust stock ownership guidelines. Our current stock</w:t>
            </w:r>
          </w:p>
        </w:tc>
        <w:tc>
          <w:tcPr>
            <w:tcW w:w="0" w:type="dxa"/>
            <w:vAlign w:val="bottom"/>
          </w:tcPr>
          <w:p>
            <w:pPr>
              <w:spacing w:after="0"/>
              <w:rPr>
                <w:sz w:val="1"/>
                <w:szCs w:val="1"/>
                <w:color w:val="auto"/>
              </w:rPr>
            </w:pPr>
          </w:p>
        </w:tc>
      </w:tr>
      <w:tr>
        <w:trPr>
          <w:trHeight w:val="216"/>
        </w:trPr>
        <w:tc>
          <w:tcPr>
            <w:tcW w:w="1440" w:type="dxa"/>
            <w:vAlign w:val="bottom"/>
          </w:tcPr>
          <w:p>
            <w:pPr>
              <w:ind w:left="280"/>
              <w:spacing w:after="0"/>
              <w:rPr>
                <w:sz w:val="20"/>
                <w:szCs w:val="20"/>
                <w:color w:val="auto"/>
              </w:rPr>
            </w:pPr>
            <w:r>
              <w:rPr>
                <w:rFonts w:ascii="Arial" w:cs="Arial" w:eastAsia="Arial" w:hAnsi="Arial"/>
                <w:sz w:val="18"/>
                <w:szCs w:val="18"/>
                <w:b w:val="1"/>
                <w:bCs w:val="1"/>
                <w:color w:val="auto"/>
              </w:rPr>
              <w:t>Ownership</w:t>
            </w:r>
          </w:p>
        </w:tc>
        <w:tc>
          <w:tcPr>
            <w:tcW w:w="2660" w:type="dxa"/>
            <w:vAlign w:val="bottom"/>
          </w:tcPr>
          <w:p>
            <w:pPr>
              <w:ind w:left="100"/>
              <w:spacing w:after="0"/>
              <w:rPr>
                <w:sz w:val="20"/>
                <w:szCs w:val="20"/>
                <w:color w:val="auto"/>
              </w:rPr>
            </w:pPr>
            <w:r>
              <w:rPr>
                <w:rFonts w:ascii="Arial" w:cs="Arial" w:eastAsia="Arial" w:hAnsi="Arial"/>
                <w:sz w:val="18"/>
                <w:szCs w:val="18"/>
                <w:color w:val="auto"/>
                <w:w w:val="88"/>
              </w:rPr>
              <w:t>ownership guidelines are as follows:</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280"/>
              <w:spacing w:after="0"/>
              <w:rPr>
                <w:sz w:val="20"/>
                <w:szCs w:val="20"/>
                <w:color w:val="auto"/>
              </w:rPr>
            </w:pPr>
            <w:r>
              <w:rPr>
                <w:rFonts w:ascii="Arial" w:cs="Arial" w:eastAsia="Arial" w:hAnsi="Arial"/>
                <w:sz w:val="18"/>
                <w:szCs w:val="18"/>
                <w:b w:val="1"/>
                <w:bCs w:val="1"/>
                <w:color w:val="auto"/>
                <w:w w:val="94"/>
              </w:rPr>
              <w:t>and Retention</w:t>
            </w:r>
          </w:p>
        </w:tc>
        <w:tc>
          <w:tcPr>
            <w:tcW w:w="26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40" w:type="dxa"/>
            <w:vAlign w:val="bottom"/>
          </w:tcPr>
          <w:p>
            <w:pPr>
              <w:ind w:left="280"/>
              <w:spacing w:after="0"/>
              <w:rPr>
                <w:sz w:val="20"/>
                <w:szCs w:val="20"/>
                <w:color w:val="auto"/>
              </w:rPr>
            </w:pPr>
            <w:r>
              <w:rPr>
                <w:rFonts w:ascii="Arial" w:cs="Arial" w:eastAsia="Arial" w:hAnsi="Arial"/>
                <w:sz w:val="18"/>
                <w:szCs w:val="18"/>
                <w:b w:val="1"/>
                <w:bCs w:val="1"/>
                <w:color w:val="auto"/>
              </w:rPr>
              <w:t>Guidelines</w:t>
            </w:r>
          </w:p>
        </w:tc>
        <w:tc>
          <w:tcPr>
            <w:tcW w:w="2660" w:type="dxa"/>
            <w:vAlign w:val="bottom"/>
            <w:vMerge w:val="restart"/>
          </w:tcPr>
          <w:p>
            <w:pPr>
              <w:ind w:left="100"/>
              <w:spacing w:after="0"/>
              <w:rPr>
                <w:sz w:val="20"/>
                <w:szCs w:val="20"/>
                <w:color w:val="auto"/>
              </w:rPr>
            </w:pPr>
            <w:r>
              <w:rPr>
                <w:rFonts w:ascii="Arial" w:cs="Arial" w:eastAsia="Arial" w:hAnsi="Arial"/>
                <w:sz w:val="18"/>
                <w:szCs w:val="18"/>
                <w:color w:val="auto"/>
              </w:rPr>
              <w:t>•   Chief Executive Officer</w:t>
            </w:r>
          </w:p>
        </w:tc>
        <w:tc>
          <w:tcPr>
            <w:tcW w:w="4320" w:type="dxa"/>
            <w:vAlign w:val="bottom"/>
            <w:vMerge w:val="restart"/>
          </w:tcPr>
          <w:p>
            <w:pPr>
              <w:ind w:left="60"/>
              <w:spacing w:after="0"/>
              <w:rPr>
                <w:sz w:val="20"/>
                <w:szCs w:val="20"/>
                <w:color w:val="auto"/>
              </w:rPr>
            </w:pPr>
            <w:r>
              <w:rPr>
                <w:rFonts w:ascii="Arial" w:cs="Arial" w:eastAsia="Arial" w:hAnsi="Arial"/>
                <w:sz w:val="18"/>
                <w:szCs w:val="18"/>
                <w:color w:val="auto"/>
              </w:rPr>
              <w:t>7x base salary</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4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440" w:type="dxa"/>
            <w:vAlign w:val="bottom"/>
          </w:tcPr>
          <w:p>
            <w:pPr>
              <w:spacing w:after="0"/>
              <w:rPr>
                <w:sz w:val="24"/>
                <w:szCs w:val="24"/>
                <w:color w:val="auto"/>
              </w:rPr>
            </w:pPr>
          </w:p>
        </w:tc>
        <w:tc>
          <w:tcPr>
            <w:tcW w:w="2660" w:type="dxa"/>
            <w:vAlign w:val="bottom"/>
          </w:tcPr>
          <w:p>
            <w:pPr>
              <w:ind w:left="100"/>
              <w:spacing w:after="0"/>
              <w:rPr>
                <w:sz w:val="20"/>
                <w:szCs w:val="20"/>
                <w:color w:val="auto"/>
              </w:rPr>
            </w:pPr>
            <w:r>
              <w:rPr>
                <w:rFonts w:ascii="Arial" w:cs="Arial" w:eastAsia="Arial" w:hAnsi="Arial"/>
                <w:sz w:val="18"/>
                <w:szCs w:val="18"/>
                <w:color w:val="auto"/>
              </w:rPr>
              <w:t>•   Chief Financial Officer and</w:t>
            </w:r>
          </w:p>
        </w:tc>
        <w:tc>
          <w:tcPr>
            <w:tcW w:w="4320" w:type="dxa"/>
            <w:vAlign w:val="bottom"/>
          </w:tcPr>
          <w:p>
            <w:pPr>
              <w:spacing w:after="0"/>
              <w:rPr>
                <w:sz w:val="20"/>
                <w:szCs w:val="20"/>
                <w:color w:val="auto"/>
              </w:rPr>
            </w:pPr>
            <w:r>
              <w:rPr>
                <w:rFonts w:ascii="Arial" w:cs="Arial" w:eastAsia="Arial" w:hAnsi="Arial"/>
                <w:sz w:val="18"/>
                <w:szCs w:val="18"/>
                <w:color w:val="auto"/>
              </w:rPr>
              <w:t>5x base salary</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660" w:type="dxa"/>
            <w:vAlign w:val="bottom"/>
          </w:tcPr>
          <w:p>
            <w:pPr>
              <w:ind w:left="380"/>
              <w:spacing w:after="0"/>
              <w:rPr>
                <w:sz w:val="20"/>
                <w:szCs w:val="20"/>
                <w:color w:val="auto"/>
              </w:rPr>
            </w:pPr>
            <w:r>
              <w:rPr>
                <w:rFonts w:ascii="Arial" w:cs="Arial" w:eastAsia="Arial" w:hAnsi="Arial"/>
                <w:sz w:val="18"/>
                <w:szCs w:val="18"/>
                <w:color w:val="auto"/>
              </w:rPr>
              <w:t>Chief Operating Officer</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2660" w:type="dxa"/>
            <w:vAlign w:val="bottom"/>
          </w:tcPr>
          <w:p>
            <w:pPr>
              <w:ind w:left="100"/>
              <w:spacing w:after="0"/>
              <w:rPr>
                <w:sz w:val="20"/>
                <w:szCs w:val="20"/>
                <w:color w:val="auto"/>
              </w:rPr>
            </w:pPr>
            <w:r>
              <w:rPr>
                <w:rFonts w:ascii="Arial" w:cs="Arial" w:eastAsia="Arial" w:hAnsi="Arial"/>
                <w:sz w:val="18"/>
                <w:szCs w:val="18"/>
                <w:color w:val="auto"/>
              </w:rPr>
              <w:t>•   All other executive officers</w:t>
            </w:r>
          </w:p>
        </w:tc>
        <w:tc>
          <w:tcPr>
            <w:tcW w:w="4320" w:type="dxa"/>
            <w:vAlign w:val="bottom"/>
          </w:tcPr>
          <w:p>
            <w:pPr>
              <w:ind w:left="40"/>
              <w:spacing w:after="0"/>
              <w:rPr>
                <w:sz w:val="20"/>
                <w:szCs w:val="20"/>
                <w:color w:val="auto"/>
              </w:rPr>
            </w:pPr>
            <w:r>
              <w:rPr>
                <w:rFonts w:ascii="Arial" w:cs="Arial" w:eastAsia="Arial" w:hAnsi="Arial"/>
                <w:sz w:val="18"/>
                <w:szCs w:val="18"/>
                <w:color w:val="auto"/>
              </w:rPr>
              <w:t>3x base salary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-2638425</wp:posOffset>
            </wp:positionV>
            <wp:extent cx="5349240" cy="43205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49240" cy="4320540"/>
                    </a:xfrm>
                    <a:prstGeom prst="rect">
                      <a:avLst/>
                    </a:prstGeom>
                    <a:noFill/>
                  </pic:spPr>
                </pic:pic>
              </a:graphicData>
            </a:graphic>
          </wp:anchor>
        </w:drawing>
      </w:r>
    </w:p>
    <w:p>
      <w:pPr>
        <w:spacing w:after="0" w:line="217" w:lineRule="exact"/>
        <w:rPr>
          <w:sz w:val="20"/>
          <w:szCs w:val="20"/>
          <w:color w:val="auto"/>
        </w:rPr>
      </w:pPr>
    </w:p>
    <w:p>
      <w:pPr>
        <w:ind w:left="2900" w:right="2100"/>
        <w:spacing w:after="0" w:line="306" w:lineRule="auto"/>
        <w:rPr>
          <w:sz w:val="20"/>
          <w:szCs w:val="20"/>
          <w:color w:val="auto"/>
        </w:rPr>
      </w:pPr>
      <w:r>
        <w:rPr>
          <w:rFonts w:ascii="Arial" w:cs="Arial" w:eastAsia="Arial" w:hAnsi="Arial"/>
          <w:sz w:val="16"/>
          <w:szCs w:val="16"/>
          <w:color w:val="auto"/>
        </w:rPr>
        <w:t>Furthermore, our executive officers are required to retain 50% of any net shares acquired pursuant to any equity award for three years after the shares are delivered (or until the individual ceases to be an executive officer, if earlier).</w:t>
      </w:r>
    </w:p>
    <w:p>
      <w:pPr>
        <w:spacing w:after="0" w:line="181" w:lineRule="exact"/>
        <w:rPr>
          <w:sz w:val="20"/>
          <w:szCs w:val="20"/>
          <w:color w:val="auto"/>
        </w:rPr>
      </w:pPr>
    </w:p>
    <w:p>
      <w:pPr>
        <w:ind w:left="1640"/>
        <w:spacing w:after="0"/>
        <w:tabs>
          <w:tab w:leader="none" w:pos="2880" w:val="left"/>
        </w:tabs>
        <w:rPr>
          <w:sz w:val="20"/>
          <w:szCs w:val="20"/>
          <w:color w:val="auto"/>
        </w:rPr>
      </w:pPr>
      <w:r>
        <w:rPr>
          <w:rFonts w:ascii="Arial" w:cs="Arial" w:eastAsia="Arial" w:hAnsi="Arial"/>
          <w:sz w:val="18"/>
          <w:szCs w:val="18"/>
          <w:b w:val="1"/>
          <w:bCs w:val="1"/>
          <w:color w:val="auto"/>
        </w:rPr>
        <w:t>Anti-Hedging</w:t>
      </w:r>
      <w:r>
        <w:rPr>
          <w:sz w:val="20"/>
          <w:szCs w:val="20"/>
          <w:color w:val="auto"/>
        </w:rPr>
        <w:tab/>
      </w:r>
      <w:r>
        <w:rPr>
          <w:rFonts w:ascii="Arial" w:cs="Arial" w:eastAsia="Arial" w:hAnsi="Arial"/>
          <w:sz w:val="16"/>
          <w:szCs w:val="16"/>
          <w:color w:val="auto"/>
        </w:rPr>
        <w:t>We have a robust anti-hedging policy that prohibits all of our directors, executive officers,</w:t>
      </w:r>
    </w:p>
    <w:p>
      <w:pPr>
        <w:spacing w:after="0" w:line="21" w:lineRule="exact"/>
        <w:rPr>
          <w:sz w:val="20"/>
          <w:szCs w:val="20"/>
          <w:color w:val="auto"/>
        </w:rPr>
      </w:pPr>
    </w:p>
    <w:p>
      <w:pPr>
        <w:ind w:left="2900" w:right="1820" w:hanging="1259"/>
        <w:spacing w:after="0" w:line="300" w:lineRule="auto"/>
        <w:tabs>
          <w:tab w:leader="none" w:pos="2880" w:val="left"/>
        </w:tabs>
        <w:rPr>
          <w:sz w:val="20"/>
          <w:szCs w:val="20"/>
          <w:color w:val="auto"/>
        </w:rPr>
      </w:pPr>
      <w:r>
        <w:rPr>
          <w:rFonts w:ascii="Arial" w:cs="Arial" w:eastAsia="Arial" w:hAnsi="Arial"/>
          <w:sz w:val="15"/>
          <w:szCs w:val="15"/>
          <w:b w:val="1"/>
          <w:bCs w:val="1"/>
          <w:color w:val="auto"/>
        </w:rPr>
        <w:t>Policy</w:t>
      </w:r>
      <w:r>
        <w:rPr>
          <w:sz w:val="20"/>
          <w:szCs w:val="20"/>
          <w:color w:val="auto"/>
        </w:rPr>
        <w:tab/>
      </w:r>
      <w:r>
        <w:rPr>
          <w:rFonts w:ascii="Arial" w:cs="Arial" w:eastAsia="Arial" w:hAnsi="Arial"/>
          <w:sz w:val="15"/>
          <w:szCs w:val="15"/>
          <w:color w:val="auto"/>
        </w:rPr>
        <w:t>employees and their respective related persons from (1) engaging in hedging or monetization transactions, or any transaction that hedges or offsets, or is designed to hedge or offset, any decrease in the market value of our securities, such as prepaid variable forward contracts, equity swaps, collars and exchange funds (which we refer to as "Hedging Transactions") or</w:t>
      </w:r>
    </w:p>
    <w:p>
      <w:pPr>
        <w:spacing w:after="0" w:line="2" w:lineRule="exact"/>
        <w:rPr>
          <w:sz w:val="20"/>
          <w:szCs w:val="20"/>
          <w:color w:val="auto"/>
        </w:rPr>
      </w:pPr>
    </w:p>
    <w:p>
      <w:pPr>
        <w:ind w:left="2900" w:right="1980" w:hanging="5"/>
        <w:spacing w:after="0" w:line="260" w:lineRule="auto"/>
        <w:tabs>
          <w:tab w:leader="none" w:pos="31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buying or selling of publicly traded options based on our common stock or engaging in short sales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-8255</wp:posOffset>
            </wp:positionV>
            <wp:extent cx="534924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The Compensation-Setting Process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Annually, the Committee reviews and assesses:</w:t>
      </w:r>
    </w:p>
    <w:p>
      <w:pPr>
        <w:spacing w:after="0" w:line="239" w:lineRule="exact"/>
        <w:rPr>
          <w:sz w:val="20"/>
          <w:szCs w:val="20"/>
          <w:color w:val="auto"/>
        </w:rPr>
      </w:pPr>
    </w:p>
    <w:p>
      <w:pPr>
        <w:ind w:left="1080" w:right="2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each NEO, his responsibilities and roles with respect to overall corporate policy-making and strategy, management, operations and administration, the importance of retaining the executive and his individual performance;</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recent and historical financial performance and forecasts for the upcoming years, recent stock price movements, current and expected business conditions and cost of capital; and</w:t>
      </w:r>
    </w:p>
    <w:p>
      <w:pPr>
        <w:spacing w:after="0" w:line="199" w:lineRule="exact"/>
        <w:rPr>
          <w:rFonts w:ascii="Arial" w:cs="Arial" w:eastAsia="Arial" w:hAnsi="Arial"/>
          <w:sz w:val="18"/>
          <w:szCs w:val="18"/>
          <w:color w:val="auto"/>
        </w:rPr>
      </w:pPr>
    </w:p>
    <w:p>
      <w:pPr>
        <w:ind w:left="1080" w:right="380" w:hanging="532"/>
        <w:spacing w:after="0" w:line="254"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amounts, award terms and mix of all elements of the NEOs' compensation, both individually, for internal consistency, and in the aggregate, to ensure that our executive</w:t>
      </w: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compensation programs adhere to the core principles as described above under "Executive Compensation Philosophy and Objectives."</w:t>
      </w:r>
    </w:p>
    <w:p>
      <w:pPr>
        <w:spacing w:after="0" w:line="225" w:lineRule="exact"/>
        <w:rPr>
          <w:sz w:val="20"/>
          <w:szCs w:val="20"/>
          <w:color w:val="auto"/>
        </w:rPr>
      </w:pPr>
    </w:p>
    <w:p>
      <w:pPr>
        <w:ind w:right="100" w:firstLine="611"/>
        <w:spacing w:after="0" w:line="291" w:lineRule="auto"/>
        <w:rPr>
          <w:sz w:val="20"/>
          <w:szCs w:val="20"/>
          <w:color w:val="auto"/>
        </w:rPr>
      </w:pPr>
      <w:r>
        <w:rPr>
          <w:rFonts w:ascii="Arial" w:cs="Arial" w:eastAsia="Arial" w:hAnsi="Arial"/>
          <w:sz w:val="16"/>
          <w:szCs w:val="16"/>
          <w:color w:val="auto"/>
        </w:rPr>
        <w:t>The Committee also reviews comprehensive detailed historical compensation analysis to ensure that it is fully informed of all the compensation and benefits each NEO has received as an employee of the Company. This analysis includes information such as the aggregate amounts realized from prior years' compensation, the potential future payout scenarios at various levels of achievement taking into account any outstanding unearned performance-based awards, and the current value (as compared to the grant date fair value) of outstanding equity awards and of each NEO's shareholdings in the Company (what some commentators call an "accumulated wealth analysis"). However, the Committee does not specifically use the accumulated wealth analysis as a material factor in determining the NEO's compensation for a given year.</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Committee strongly believes that:</w:t>
      </w:r>
    </w:p>
    <w:p>
      <w:pPr>
        <w:spacing w:after="0" w:line="239" w:lineRule="exact"/>
        <w:rPr>
          <w:sz w:val="20"/>
          <w:szCs w:val="20"/>
          <w:color w:val="auto"/>
        </w:rPr>
      </w:pPr>
    </w:p>
    <w:p>
      <w:pPr>
        <w:ind w:left="1080" w:right="2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value realized on prior years' compensation from stock appreciation is the reward for the NEO's work over that period and the achievement of our long-term goals;</w:t>
      </w:r>
    </w:p>
    <w:p>
      <w:pPr>
        <w:spacing w:after="0" w:line="21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reducing current year compensation because an executive has realized gains based on a desired creation of shareholder value, or otherwise giving significant weight to an accumulated wealth analysis when making decisions regarding current compensation, is counterproductive and poses an unnecessary risk to shareholder value; and</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order to maintain the best group of executives to lead the Company, we must provide a compensation package each year that represents a fair and reasonable reward for the Company's performance that year and the executive's role in it.</w:t>
      </w:r>
    </w:p>
    <w:p>
      <w:pPr>
        <w:spacing w:after="0" w:line="186" w:lineRule="exact"/>
        <w:rPr>
          <w:sz w:val="20"/>
          <w:szCs w:val="20"/>
          <w:color w:val="auto"/>
        </w:rPr>
      </w:pPr>
    </w:p>
    <w:p>
      <w:pPr>
        <w:ind w:right="180" w:firstLine="611"/>
        <w:spacing w:after="0" w:line="294" w:lineRule="auto"/>
        <w:rPr>
          <w:sz w:val="20"/>
          <w:szCs w:val="20"/>
          <w:color w:val="auto"/>
        </w:rPr>
      </w:pPr>
      <w:r>
        <w:rPr>
          <w:rFonts w:ascii="Arial" w:cs="Arial" w:eastAsia="Arial" w:hAnsi="Arial"/>
          <w:sz w:val="16"/>
          <w:szCs w:val="16"/>
          <w:color w:val="auto"/>
        </w:rPr>
        <w:t>The Committee also considers the recommendations of our Chief Executive Officer with respect to the compensation of our other executive officers. Following these reviews and assessments, the Committee determines the compensation packages for each NEO. This process is subjective and involves the exercise of discretion and judgment. While the Committee will review detailed financial models showing variations in compensation at differing levels of achievement, the Committee does not rely on a fixed formula but rather, it establishes the compensation packages based on the Committee's judgment as to what it believes is reasonable in relation to the levels of shareholder value created at each level of Company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Evaluating Compensation Program Design Using Compensation Comparison Companies</w:t>
      </w:r>
    </w:p>
    <w:p>
      <w:pPr>
        <w:spacing w:after="0" w:line="225" w:lineRule="exact"/>
        <w:rPr>
          <w:sz w:val="20"/>
          <w:szCs w:val="20"/>
          <w:color w:val="auto"/>
        </w:rPr>
      </w:pPr>
    </w:p>
    <w:p>
      <w:pPr>
        <w:ind w:right="120" w:firstLine="611"/>
        <w:spacing w:after="0" w:line="291" w:lineRule="auto"/>
        <w:rPr>
          <w:sz w:val="20"/>
          <w:szCs w:val="20"/>
          <w:color w:val="auto"/>
        </w:rPr>
      </w:pPr>
      <w:r>
        <w:rPr>
          <w:rFonts w:ascii="Arial" w:cs="Arial" w:eastAsia="Arial" w:hAnsi="Arial"/>
          <w:sz w:val="16"/>
          <w:szCs w:val="16"/>
          <w:color w:val="auto"/>
        </w:rPr>
        <w:t>We believe we have a unique business model and that there are few, if any, companies of a similar size and complexity engaged in our same lines of business on a global scale. However, in order to ensure that the Committee has a comprehensive view of market trends in executive compensation, the Committee approved a group of compensation comparison companies that reflects multiple aspects of our complex business model and it uses this group to benchmark our executive compensation program. In forming the group, the Committee considered companies in the industry sectors listed below, taking into account their relative financial size (with a specific focus on net income and market capitalization), and maintaining a reasonable expectation these companies will have some consistency in terms of ongoing industry sector membership.</w:t>
      </w:r>
    </w:p>
    <w:p>
      <w:pPr>
        <w:spacing w:after="0" w:line="174"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00"/>
              <w:spacing w:after="0"/>
              <w:rPr>
                <w:sz w:val="20"/>
                <w:szCs w:val="20"/>
                <w:color w:val="auto"/>
              </w:rPr>
            </w:pPr>
            <w:r>
              <w:rPr>
                <w:rFonts w:ascii="Arial" w:cs="Arial" w:eastAsia="Arial" w:hAnsi="Arial"/>
                <w:sz w:val="18"/>
                <w:szCs w:val="18"/>
                <w:color w:val="auto"/>
              </w:rPr>
              <w:t>Asset-light demand aggregators;</w:t>
            </w:r>
          </w:p>
        </w:tc>
        <w:tc>
          <w:tcPr>
            <w:tcW w:w="4460" w:type="dxa"/>
            <w:vAlign w:val="bottom"/>
            <w:gridSpan w:val="2"/>
          </w:tcPr>
          <w:p>
            <w:pPr>
              <w:ind w:left="260"/>
              <w:spacing w:after="0"/>
              <w:rPr>
                <w:sz w:val="20"/>
                <w:szCs w:val="20"/>
                <w:color w:val="auto"/>
              </w:rPr>
            </w:pPr>
            <w:r>
              <w:rPr>
                <w:rFonts w:ascii="Arial" w:cs="Arial" w:eastAsia="Arial" w:hAnsi="Arial"/>
                <w:sz w:val="18"/>
                <w:szCs w:val="18"/>
                <w:color w:val="auto"/>
              </w:rPr>
              <w:t>•   Marine, land, and aviation services providers;</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w w:val="98"/>
              </w:rPr>
              <w:t>•   Energy commodity trading organizations;</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4020" w:type="dxa"/>
            <w:vAlign w:val="bottom"/>
          </w:tcPr>
          <w:p>
            <w:pPr>
              <w:ind w:left="100"/>
              <w:spacing w:after="0"/>
              <w:rPr>
                <w:sz w:val="20"/>
                <w:szCs w:val="20"/>
                <w:color w:val="auto"/>
              </w:rPr>
            </w:pPr>
            <w:r>
              <w:rPr>
                <w:rFonts w:ascii="Arial" w:cs="Arial" w:eastAsia="Arial" w:hAnsi="Arial"/>
                <w:sz w:val="18"/>
                <w:szCs w:val="18"/>
                <w:color w:val="auto"/>
                <w:w w:val="88"/>
              </w:rPr>
              <w:t>Freight forwarding and logistics services providers; and</w:t>
            </w:r>
          </w:p>
        </w:tc>
      </w:t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00"/>
              <w:spacing w:after="0"/>
              <w:rPr>
                <w:sz w:val="20"/>
                <w:szCs w:val="20"/>
                <w:color w:val="auto"/>
              </w:rPr>
            </w:pPr>
            <w:r>
              <w:rPr>
                <w:rFonts w:ascii="Arial" w:cs="Arial" w:eastAsia="Arial" w:hAnsi="Arial"/>
                <w:sz w:val="18"/>
                <w:szCs w:val="18"/>
                <w:color w:val="auto"/>
              </w:rPr>
              <w:t>Wholesale diversified distributors;</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4020" w:type="dxa"/>
            <w:vAlign w:val="bottom"/>
          </w:tcPr>
          <w:p>
            <w:pPr>
              <w:ind w:left="100"/>
              <w:spacing w:after="0"/>
              <w:rPr>
                <w:sz w:val="20"/>
                <w:szCs w:val="20"/>
                <w:color w:val="auto"/>
              </w:rPr>
            </w:pPr>
            <w:r>
              <w:rPr>
                <w:rFonts w:ascii="Arial" w:cs="Arial" w:eastAsia="Arial" w:hAnsi="Arial"/>
                <w:sz w:val="18"/>
                <w:szCs w:val="18"/>
                <w:color w:val="auto"/>
                <w:w w:val="99"/>
              </w:rPr>
              <w:t>Systems/payment processing services providers.</w:t>
            </w:r>
          </w:p>
        </w:tc>
      </w:tr>
    </w:tbl>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Committee used data derived from the compensation comparison companies group shown below to inform its decisions about NEO compensation including amounts, design and mix of pay components. For 2019, the Committee maintained the same compensation comparison companies group as was utilized in 2018.</w:t>
      </w:r>
    </w:p>
    <w:p>
      <w:pPr>
        <w:spacing w:after="0" w:line="182" w:lineRule="exact"/>
        <w:rPr>
          <w:sz w:val="20"/>
          <w:szCs w:val="20"/>
          <w:color w:val="auto"/>
        </w:rPr>
      </w:pPr>
    </w:p>
    <w:tbl>
      <w:tblPr>
        <w:tblLayout w:type="fixed"/>
        <w:tblInd w:w="1370" w:type="dxa"/>
        <w:tblCellMar>
          <w:top w:w="0" w:type="dxa"/>
          <w:left w:w="0" w:type="dxa"/>
          <w:bottom w:w="0" w:type="dxa"/>
          <w:right w:w="0" w:type="dxa"/>
        </w:tblCellMar>
      </w:tblPr>
      <w:tr>
        <w:trPr>
          <w:trHeight w:val="236"/>
        </w:trPr>
        <w:tc>
          <w:tcPr>
            <w:tcW w:w="540" w:type="dxa"/>
            <w:vAlign w:val="bottom"/>
            <w:tcBorders>
              <w:top w:val="single" w:sz="8" w:color="0048E0"/>
              <w:left w:val="single" w:sz="8" w:color="auto"/>
              <w:bottom w:val="single" w:sz="8" w:color="00529B"/>
            </w:tcBorders>
            <w:shd w:val="clear" w:color="auto" w:fill="00529B"/>
          </w:tcPr>
          <w:p>
            <w:pPr>
              <w:spacing w:after="0"/>
              <w:rPr>
                <w:sz w:val="20"/>
                <w:szCs w:val="20"/>
                <w:color w:val="auto"/>
              </w:rPr>
            </w:pPr>
          </w:p>
        </w:tc>
        <w:tc>
          <w:tcPr>
            <w:tcW w:w="5700" w:type="dxa"/>
            <w:vAlign w:val="bottom"/>
            <w:tcBorders>
              <w:top w:val="single" w:sz="8" w:color="0048E0"/>
              <w:bottom w:val="single" w:sz="8" w:color="00529B"/>
            </w:tcBorders>
            <w:gridSpan w:val="3"/>
            <w:shd w:val="clear" w:color="auto" w:fill="00529B"/>
          </w:tcPr>
          <w:p>
            <w:pPr>
              <w:ind w:left="2800"/>
              <w:spacing w:after="0"/>
              <w:rPr>
                <w:sz w:val="20"/>
                <w:szCs w:val="20"/>
                <w:color w:val="auto"/>
              </w:rPr>
            </w:pPr>
            <w:r>
              <w:rPr>
                <w:rFonts w:ascii="Arial" w:cs="Arial" w:eastAsia="Arial" w:hAnsi="Arial"/>
                <w:sz w:val="13"/>
                <w:szCs w:val="13"/>
                <w:b w:val="1"/>
                <w:bCs w:val="1"/>
                <w:color w:val="FFFFFE"/>
              </w:rPr>
              <w:t>2019 Comparison Companies</w:t>
            </w:r>
          </w:p>
        </w:tc>
        <w:tc>
          <w:tcPr>
            <w:tcW w:w="2180" w:type="dxa"/>
            <w:vAlign w:val="bottom"/>
            <w:tcBorders>
              <w:top w:val="single" w:sz="8" w:color="0048E0"/>
              <w:bottom w:val="single" w:sz="8" w:color="00529B"/>
              <w:right w:val="single" w:sz="8" w:color="auto"/>
            </w:tcBorders>
            <w:shd w:val="clear" w:color="auto" w:fill="00529B"/>
          </w:tcPr>
          <w:p>
            <w:pPr>
              <w:spacing w:after="0"/>
              <w:rPr>
                <w:sz w:val="20"/>
                <w:szCs w:val="20"/>
                <w:color w:val="auto"/>
              </w:rPr>
            </w:pPr>
          </w:p>
        </w:tc>
      </w:tr>
      <w:tr>
        <w:trPr>
          <w:trHeight w:val="222"/>
        </w:trPr>
        <w:tc>
          <w:tcPr>
            <w:tcW w:w="54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520" w:type="dxa"/>
            <w:vAlign w:val="bottom"/>
          </w:tcPr>
          <w:p>
            <w:pPr>
              <w:ind w:left="120"/>
              <w:spacing w:after="0"/>
              <w:rPr>
                <w:sz w:val="20"/>
                <w:szCs w:val="20"/>
                <w:color w:val="auto"/>
              </w:rPr>
            </w:pPr>
            <w:r>
              <w:rPr>
                <w:rFonts w:ascii="Arial" w:cs="Arial" w:eastAsia="Arial" w:hAnsi="Arial"/>
                <w:sz w:val="18"/>
                <w:szCs w:val="18"/>
                <w:color w:val="auto"/>
              </w:rPr>
              <w:t>Anixter International Inc.</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rPr>
              <w:t>Noble Energy, Inc.</w:t>
            </w:r>
          </w:p>
        </w:tc>
        <w:tc>
          <w:tcPr>
            <w:tcW w:w="2180" w:type="dxa"/>
            <w:vAlign w:val="bottom"/>
            <w:tcBorders>
              <w:right w:val="single" w:sz="8" w:color="auto"/>
            </w:tcBorders>
          </w:tcPr>
          <w:p>
            <w:pPr>
              <w:spacing w:after="0"/>
              <w:rPr>
                <w:sz w:val="19"/>
                <w:szCs w:val="19"/>
                <w:color w:val="auto"/>
              </w:rPr>
            </w:pPr>
          </w:p>
        </w:tc>
      </w:tr>
      <w:tr>
        <w:trPr>
          <w:trHeight w:val="196"/>
        </w:trPr>
        <w:tc>
          <w:tcPr>
            <w:tcW w:w="540" w:type="dxa"/>
            <w:vAlign w:val="bottom"/>
            <w:tcBorders>
              <w:left w:val="single" w:sz="8" w:color="auto"/>
            </w:tcBorders>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r>
      <w:tr>
        <w:trPr>
          <w:trHeight w:val="222"/>
        </w:trPr>
        <w:tc>
          <w:tcPr>
            <w:tcW w:w="540" w:type="dxa"/>
            <w:vAlign w:val="bottom"/>
            <w:tcBorders>
              <w:left w:val="single" w:sz="8" w:color="auto"/>
            </w:tcBorders>
            <w:shd w:val="clear" w:color="auto" w:fill="D1D7EB"/>
          </w:tcPr>
          <w:p>
            <w:pPr>
              <w:ind w:left="380"/>
              <w:spacing w:after="0"/>
              <w:rPr>
                <w:sz w:val="20"/>
                <w:szCs w:val="20"/>
                <w:color w:val="auto"/>
              </w:rPr>
            </w:pPr>
            <w:r>
              <w:rPr>
                <w:rFonts w:ascii="Arial" w:cs="Arial" w:eastAsia="Arial" w:hAnsi="Arial"/>
                <w:sz w:val="18"/>
                <w:szCs w:val="18"/>
                <w:color w:val="auto"/>
              </w:rPr>
              <w:t>•</w:t>
            </w:r>
          </w:p>
        </w:tc>
        <w:tc>
          <w:tcPr>
            <w:tcW w:w="3520" w:type="dxa"/>
            <w:vAlign w:val="bottom"/>
            <w:shd w:val="clear" w:color="auto" w:fill="D1D7EB"/>
          </w:tcPr>
          <w:p>
            <w:pPr>
              <w:ind w:left="120"/>
              <w:spacing w:after="0"/>
              <w:rPr>
                <w:sz w:val="20"/>
                <w:szCs w:val="20"/>
                <w:color w:val="auto"/>
              </w:rPr>
            </w:pPr>
            <w:r>
              <w:rPr>
                <w:rFonts w:ascii="Arial" w:cs="Arial" w:eastAsia="Arial" w:hAnsi="Arial"/>
                <w:sz w:val="18"/>
                <w:szCs w:val="18"/>
                <w:color w:val="auto"/>
              </w:rPr>
              <w:t>Arrow Electronics, Inc.</w:t>
            </w:r>
          </w:p>
        </w:tc>
        <w:tc>
          <w:tcPr>
            <w:tcW w:w="440" w:type="dxa"/>
            <w:vAlign w:val="bottom"/>
            <w:shd w:val="clear" w:color="auto" w:fill="D1D7EB"/>
          </w:tcPr>
          <w:p>
            <w:pPr>
              <w:ind w:left="2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D1D7EB"/>
          </w:tcPr>
          <w:p>
            <w:pPr>
              <w:ind w:left="100"/>
              <w:spacing w:after="0"/>
              <w:rPr>
                <w:sz w:val="20"/>
                <w:szCs w:val="20"/>
                <w:color w:val="auto"/>
              </w:rPr>
            </w:pPr>
            <w:r>
              <w:rPr>
                <w:rFonts w:ascii="Arial" w:cs="Arial" w:eastAsia="Arial" w:hAnsi="Arial"/>
                <w:sz w:val="18"/>
                <w:szCs w:val="18"/>
                <w:color w:val="auto"/>
                <w:w w:val="99"/>
              </w:rPr>
              <w:t>Owens &amp; Minor, Inc.</w:t>
            </w:r>
          </w:p>
        </w:tc>
        <w:tc>
          <w:tcPr>
            <w:tcW w:w="2180" w:type="dxa"/>
            <w:vAlign w:val="bottom"/>
            <w:tcBorders>
              <w:right w:val="single" w:sz="8" w:color="auto"/>
            </w:tcBorders>
            <w:shd w:val="clear" w:color="auto" w:fill="D1D7EB"/>
          </w:tcPr>
          <w:p>
            <w:pPr>
              <w:spacing w:after="0"/>
              <w:rPr>
                <w:sz w:val="19"/>
                <w:szCs w:val="19"/>
                <w:color w:val="auto"/>
              </w:rPr>
            </w:pPr>
          </w:p>
        </w:tc>
      </w:tr>
      <w:tr>
        <w:trPr>
          <w:trHeight w:val="210"/>
        </w:trPr>
        <w:tc>
          <w:tcPr>
            <w:tcW w:w="540" w:type="dxa"/>
            <w:vAlign w:val="bottom"/>
            <w:tcBorders>
              <w:left w:val="single" w:sz="8" w:color="auto"/>
            </w:tcBorders>
            <w:shd w:val="clear" w:color="auto" w:fill="D1D7EB"/>
          </w:tcPr>
          <w:p>
            <w:pPr>
              <w:spacing w:after="0"/>
              <w:rPr>
                <w:sz w:val="18"/>
                <w:szCs w:val="18"/>
                <w:color w:val="auto"/>
              </w:rPr>
            </w:pPr>
          </w:p>
        </w:tc>
        <w:tc>
          <w:tcPr>
            <w:tcW w:w="3520" w:type="dxa"/>
            <w:vAlign w:val="bottom"/>
            <w:shd w:val="clear" w:color="auto" w:fill="D1D7EB"/>
          </w:tcPr>
          <w:p>
            <w:pPr>
              <w:spacing w:after="0"/>
              <w:rPr>
                <w:sz w:val="18"/>
                <w:szCs w:val="18"/>
                <w:color w:val="auto"/>
              </w:rPr>
            </w:pPr>
          </w:p>
        </w:tc>
        <w:tc>
          <w:tcPr>
            <w:tcW w:w="440" w:type="dxa"/>
            <w:vAlign w:val="bottom"/>
            <w:shd w:val="clear" w:color="auto" w:fill="D1D7EB"/>
          </w:tcPr>
          <w:p>
            <w:pPr>
              <w:spacing w:after="0"/>
              <w:rPr>
                <w:sz w:val="18"/>
                <w:szCs w:val="18"/>
                <w:color w:val="auto"/>
              </w:rPr>
            </w:pPr>
          </w:p>
        </w:tc>
        <w:tc>
          <w:tcPr>
            <w:tcW w:w="3920" w:type="dxa"/>
            <w:vAlign w:val="bottom"/>
            <w:tcBorders>
              <w:right w:val="single" w:sz="8" w:color="auto"/>
            </w:tcBorders>
            <w:gridSpan w:val="2"/>
            <w:shd w:val="clear" w:color="auto" w:fill="D1D7EB"/>
          </w:tcPr>
          <w:p>
            <w:pPr>
              <w:spacing w:after="0"/>
              <w:rPr>
                <w:sz w:val="18"/>
                <w:szCs w:val="18"/>
                <w:color w:val="auto"/>
              </w:rPr>
            </w:pPr>
          </w:p>
        </w:tc>
      </w:tr>
      <w:tr>
        <w:trPr>
          <w:trHeight w:val="222"/>
        </w:trPr>
        <w:tc>
          <w:tcPr>
            <w:tcW w:w="54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520" w:type="dxa"/>
            <w:vAlign w:val="bottom"/>
          </w:tcPr>
          <w:p>
            <w:pPr>
              <w:ind w:left="120"/>
              <w:spacing w:after="0"/>
              <w:rPr>
                <w:sz w:val="20"/>
                <w:szCs w:val="20"/>
                <w:color w:val="auto"/>
              </w:rPr>
            </w:pPr>
            <w:r>
              <w:rPr>
                <w:rFonts w:ascii="Arial" w:cs="Arial" w:eastAsia="Arial" w:hAnsi="Arial"/>
                <w:sz w:val="18"/>
                <w:szCs w:val="18"/>
                <w:color w:val="auto"/>
              </w:rPr>
              <w:t>Atlas Air Worldwide Holdings, Inc.</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39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Performance Food Group, Inc.</w:t>
            </w:r>
          </w:p>
        </w:tc>
      </w:tr>
      <w:tr>
        <w:trPr>
          <w:trHeight w:val="196"/>
        </w:trPr>
        <w:tc>
          <w:tcPr>
            <w:tcW w:w="540" w:type="dxa"/>
            <w:vAlign w:val="bottom"/>
            <w:tcBorders>
              <w:left w:val="single" w:sz="8" w:color="auto"/>
            </w:tcBorders>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r>
      <w:tr>
        <w:trPr>
          <w:trHeight w:val="222"/>
        </w:trPr>
        <w:tc>
          <w:tcPr>
            <w:tcW w:w="540" w:type="dxa"/>
            <w:vAlign w:val="bottom"/>
            <w:tcBorders>
              <w:left w:val="single" w:sz="8" w:color="auto"/>
            </w:tcBorders>
            <w:shd w:val="clear" w:color="auto" w:fill="D1D7EB"/>
          </w:tcPr>
          <w:p>
            <w:pPr>
              <w:ind w:left="380"/>
              <w:spacing w:after="0"/>
              <w:rPr>
                <w:sz w:val="20"/>
                <w:szCs w:val="20"/>
                <w:color w:val="auto"/>
              </w:rPr>
            </w:pPr>
            <w:r>
              <w:rPr>
                <w:rFonts w:ascii="Arial" w:cs="Arial" w:eastAsia="Arial" w:hAnsi="Arial"/>
                <w:sz w:val="18"/>
                <w:szCs w:val="18"/>
                <w:color w:val="auto"/>
              </w:rPr>
              <w:t>•</w:t>
            </w:r>
          </w:p>
        </w:tc>
        <w:tc>
          <w:tcPr>
            <w:tcW w:w="3520" w:type="dxa"/>
            <w:vAlign w:val="bottom"/>
            <w:shd w:val="clear" w:color="auto" w:fill="D1D7EB"/>
          </w:tcPr>
          <w:p>
            <w:pPr>
              <w:ind w:left="120"/>
              <w:spacing w:after="0"/>
              <w:rPr>
                <w:sz w:val="20"/>
                <w:szCs w:val="20"/>
                <w:color w:val="auto"/>
              </w:rPr>
            </w:pPr>
            <w:r>
              <w:rPr>
                <w:rFonts w:ascii="Arial" w:cs="Arial" w:eastAsia="Arial" w:hAnsi="Arial"/>
                <w:sz w:val="18"/>
                <w:szCs w:val="18"/>
                <w:color w:val="auto"/>
              </w:rPr>
              <w:t>C.H. Robinson Worldwide, Inc.</w:t>
            </w:r>
          </w:p>
        </w:tc>
        <w:tc>
          <w:tcPr>
            <w:tcW w:w="440" w:type="dxa"/>
            <w:vAlign w:val="bottom"/>
            <w:shd w:val="clear" w:color="auto" w:fill="D1D7EB"/>
          </w:tcPr>
          <w:p>
            <w:pPr>
              <w:ind w:left="2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D1D7EB"/>
          </w:tcPr>
          <w:p>
            <w:pPr>
              <w:ind w:left="100"/>
              <w:spacing w:after="0"/>
              <w:rPr>
                <w:sz w:val="20"/>
                <w:szCs w:val="20"/>
                <w:color w:val="auto"/>
              </w:rPr>
            </w:pPr>
            <w:r>
              <w:rPr>
                <w:rFonts w:ascii="Arial" w:cs="Arial" w:eastAsia="Arial" w:hAnsi="Arial"/>
                <w:sz w:val="18"/>
                <w:szCs w:val="18"/>
                <w:color w:val="auto"/>
              </w:rPr>
              <w:t>Ryder System, Inc.</w:t>
            </w:r>
          </w:p>
        </w:tc>
        <w:tc>
          <w:tcPr>
            <w:tcW w:w="2180" w:type="dxa"/>
            <w:vAlign w:val="bottom"/>
            <w:tcBorders>
              <w:right w:val="single" w:sz="8" w:color="auto"/>
            </w:tcBorders>
            <w:shd w:val="clear" w:color="auto" w:fill="D1D7EB"/>
          </w:tcPr>
          <w:p>
            <w:pPr>
              <w:spacing w:after="0"/>
              <w:rPr>
                <w:sz w:val="19"/>
                <w:szCs w:val="19"/>
                <w:color w:val="auto"/>
              </w:rPr>
            </w:pPr>
          </w:p>
        </w:tc>
      </w:tr>
      <w:tr>
        <w:trPr>
          <w:trHeight w:val="210"/>
        </w:trPr>
        <w:tc>
          <w:tcPr>
            <w:tcW w:w="540" w:type="dxa"/>
            <w:vAlign w:val="bottom"/>
            <w:tcBorders>
              <w:left w:val="single" w:sz="8" w:color="auto"/>
            </w:tcBorders>
            <w:shd w:val="clear" w:color="auto" w:fill="D1D7EB"/>
          </w:tcPr>
          <w:p>
            <w:pPr>
              <w:spacing w:after="0"/>
              <w:rPr>
                <w:sz w:val="18"/>
                <w:szCs w:val="18"/>
                <w:color w:val="auto"/>
              </w:rPr>
            </w:pPr>
          </w:p>
        </w:tc>
        <w:tc>
          <w:tcPr>
            <w:tcW w:w="3520" w:type="dxa"/>
            <w:vAlign w:val="bottom"/>
            <w:shd w:val="clear" w:color="auto" w:fill="D1D7EB"/>
          </w:tcPr>
          <w:p>
            <w:pPr>
              <w:spacing w:after="0"/>
              <w:rPr>
                <w:sz w:val="18"/>
                <w:szCs w:val="18"/>
                <w:color w:val="auto"/>
              </w:rPr>
            </w:pPr>
          </w:p>
        </w:tc>
        <w:tc>
          <w:tcPr>
            <w:tcW w:w="440" w:type="dxa"/>
            <w:vAlign w:val="bottom"/>
            <w:shd w:val="clear" w:color="auto" w:fill="D1D7EB"/>
          </w:tcPr>
          <w:p>
            <w:pPr>
              <w:spacing w:after="0"/>
              <w:rPr>
                <w:sz w:val="18"/>
                <w:szCs w:val="18"/>
                <w:color w:val="auto"/>
              </w:rPr>
            </w:pPr>
          </w:p>
        </w:tc>
        <w:tc>
          <w:tcPr>
            <w:tcW w:w="1740" w:type="dxa"/>
            <w:vAlign w:val="bottom"/>
            <w:shd w:val="clear" w:color="auto" w:fill="D1D7EB"/>
          </w:tcPr>
          <w:p>
            <w:pPr>
              <w:spacing w:after="0"/>
              <w:rPr>
                <w:sz w:val="18"/>
                <w:szCs w:val="18"/>
                <w:color w:val="auto"/>
              </w:rPr>
            </w:pPr>
          </w:p>
        </w:tc>
        <w:tc>
          <w:tcPr>
            <w:tcW w:w="2180" w:type="dxa"/>
            <w:vAlign w:val="bottom"/>
            <w:tcBorders>
              <w:right w:val="single" w:sz="8" w:color="auto"/>
            </w:tcBorders>
            <w:shd w:val="clear" w:color="auto" w:fill="D1D7EB"/>
          </w:tcPr>
          <w:p>
            <w:pPr>
              <w:spacing w:after="0"/>
              <w:rPr>
                <w:sz w:val="18"/>
                <w:szCs w:val="18"/>
                <w:color w:val="auto"/>
              </w:rPr>
            </w:pPr>
          </w:p>
        </w:tc>
      </w:tr>
      <w:tr>
        <w:trPr>
          <w:trHeight w:val="222"/>
        </w:trPr>
        <w:tc>
          <w:tcPr>
            <w:tcW w:w="54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520" w:type="dxa"/>
            <w:vAlign w:val="bottom"/>
          </w:tcPr>
          <w:p>
            <w:pPr>
              <w:ind w:left="120"/>
              <w:spacing w:after="0"/>
              <w:rPr>
                <w:sz w:val="20"/>
                <w:szCs w:val="20"/>
                <w:color w:val="auto"/>
              </w:rPr>
            </w:pPr>
            <w:r>
              <w:rPr>
                <w:rFonts w:ascii="Arial" w:cs="Arial" w:eastAsia="Arial" w:hAnsi="Arial"/>
                <w:sz w:val="18"/>
                <w:szCs w:val="18"/>
                <w:color w:val="auto"/>
                <w:w w:val="97"/>
              </w:rPr>
              <w:t>Expeditors International of Washington, Inc.</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rPr>
              <w:t>Sysco Corporation</w:t>
            </w:r>
          </w:p>
        </w:tc>
        <w:tc>
          <w:tcPr>
            <w:tcW w:w="2180" w:type="dxa"/>
            <w:vAlign w:val="bottom"/>
            <w:tcBorders>
              <w:right w:val="single" w:sz="8" w:color="auto"/>
            </w:tcBorders>
          </w:tcPr>
          <w:p>
            <w:pPr>
              <w:spacing w:after="0"/>
              <w:rPr>
                <w:sz w:val="19"/>
                <w:szCs w:val="19"/>
                <w:color w:val="auto"/>
              </w:rPr>
            </w:pPr>
          </w:p>
        </w:tc>
      </w:tr>
      <w:tr>
        <w:trPr>
          <w:trHeight w:val="196"/>
        </w:trPr>
        <w:tc>
          <w:tcPr>
            <w:tcW w:w="540" w:type="dxa"/>
            <w:vAlign w:val="bottom"/>
            <w:tcBorders>
              <w:left w:val="single" w:sz="8" w:color="auto"/>
            </w:tcBorders>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r>
      <w:tr>
        <w:trPr>
          <w:trHeight w:val="222"/>
        </w:trPr>
        <w:tc>
          <w:tcPr>
            <w:tcW w:w="540" w:type="dxa"/>
            <w:vAlign w:val="bottom"/>
            <w:tcBorders>
              <w:left w:val="single" w:sz="8" w:color="auto"/>
            </w:tcBorders>
            <w:shd w:val="clear" w:color="auto" w:fill="D1D7EB"/>
          </w:tcPr>
          <w:p>
            <w:pPr>
              <w:ind w:left="380"/>
              <w:spacing w:after="0"/>
              <w:rPr>
                <w:sz w:val="20"/>
                <w:szCs w:val="20"/>
                <w:color w:val="auto"/>
              </w:rPr>
            </w:pPr>
            <w:r>
              <w:rPr>
                <w:rFonts w:ascii="Arial" w:cs="Arial" w:eastAsia="Arial" w:hAnsi="Arial"/>
                <w:sz w:val="18"/>
                <w:szCs w:val="18"/>
                <w:color w:val="auto"/>
              </w:rPr>
              <w:t>•</w:t>
            </w:r>
          </w:p>
        </w:tc>
        <w:tc>
          <w:tcPr>
            <w:tcW w:w="3520" w:type="dxa"/>
            <w:vAlign w:val="bottom"/>
            <w:shd w:val="clear" w:color="auto" w:fill="D1D7EB"/>
          </w:tcPr>
          <w:p>
            <w:pPr>
              <w:ind w:left="120"/>
              <w:spacing w:after="0"/>
              <w:rPr>
                <w:sz w:val="20"/>
                <w:szCs w:val="20"/>
                <w:color w:val="auto"/>
              </w:rPr>
            </w:pPr>
            <w:r>
              <w:rPr>
                <w:rFonts w:ascii="Arial" w:cs="Arial" w:eastAsia="Arial" w:hAnsi="Arial"/>
                <w:sz w:val="18"/>
                <w:szCs w:val="18"/>
                <w:color w:val="auto"/>
              </w:rPr>
              <w:t>FleetCor Technologies, Inc.</w:t>
            </w:r>
          </w:p>
        </w:tc>
        <w:tc>
          <w:tcPr>
            <w:tcW w:w="440" w:type="dxa"/>
            <w:vAlign w:val="bottom"/>
            <w:shd w:val="clear" w:color="auto" w:fill="D1D7EB"/>
          </w:tcPr>
          <w:p>
            <w:pPr>
              <w:ind w:left="2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D1D7EB"/>
          </w:tcPr>
          <w:p>
            <w:pPr>
              <w:ind w:left="100"/>
              <w:spacing w:after="0"/>
              <w:rPr>
                <w:sz w:val="20"/>
                <w:szCs w:val="20"/>
                <w:color w:val="auto"/>
              </w:rPr>
            </w:pPr>
            <w:r>
              <w:rPr>
                <w:rFonts w:ascii="Arial" w:cs="Arial" w:eastAsia="Arial" w:hAnsi="Arial"/>
                <w:sz w:val="18"/>
                <w:szCs w:val="18"/>
                <w:color w:val="auto"/>
                <w:w w:val="88"/>
              </w:rPr>
              <w:t>Tech Data Corporation</w:t>
            </w:r>
          </w:p>
        </w:tc>
        <w:tc>
          <w:tcPr>
            <w:tcW w:w="2180" w:type="dxa"/>
            <w:vAlign w:val="bottom"/>
            <w:tcBorders>
              <w:right w:val="single" w:sz="8" w:color="auto"/>
            </w:tcBorders>
            <w:shd w:val="clear" w:color="auto" w:fill="D1D7EB"/>
          </w:tcPr>
          <w:p>
            <w:pPr>
              <w:spacing w:after="0"/>
              <w:rPr>
                <w:sz w:val="19"/>
                <w:szCs w:val="19"/>
                <w:color w:val="auto"/>
              </w:rPr>
            </w:pPr>
          </w:p>
        </w:tc>
      </w:tr>
      <w:tr>
        <w:trPr>
          <w:trHeight w:val="210"/>
        </w:trPr>
        <w:tc>
          <w:tcPr>
            <w:tcW w:w="540" w:type="dxa"/>
            <w:vAlign w:val="bottom"/>
            <w:tcBorders>
              <w:left w:val="single" w:sz="8" w:color="auto"/>
            </w:tcBorders>
            <w:shd w:val="clear" w:color="auto" w:fill="D1D7EB"/>
          </w:tcPr>
          <w:p>
            <w:pPr>
              <w:spacing w:after="0"/>
              <w:rPr>
                <w:sz w:val="18"/>
                <w:szCs w:val="18"/>
                <w:color w:val="auto"/>
              </w:rPr>
            </w:pPr>
          </w:p>
        </w:tc>
        <w:tc>
          <w:tcPr>
            <w:tcW w:w="3520" w:type="dxa"/>
            <w:vAlign w:val="bottom"/>
            <w:shd w:val="clear" w:color="auto" w:fill="D1D7EB"/>
          </w:tcPr>
          <w:p>
            <w:pPr>
              <w:spacing w:after="0"/>
              <w:rPr>
                <w:sz w:val="18"/>
                <w:szCs w:val="18"/>
                <w:color w:val="auto"/>
              </w:rPr>
            </w:pPr>
          </w:p>
        </w:tc>
        <w:tc>
          <w:tcPr>
            <w:tcW w:w="440" w:type="dxa"/>
            <w:vAlign w:val="bottom"/>
            <w:shd w:val="clear" w:color="auto" w:fill="D1D7EB"/>
          </w:tcPr>
          <w:p>
            <w:pPr>
              <w:spacing w:after="0"/>
              <w:rPr>
                <w:sz w:val="18"/>
                <w:szCs w:val="18"/>
                <w:color w:val="auto"/>
              </w:rPr>
            </w:pPr>
          </w:p>
        </w:tc>
        <w:tc>
          <w:tcPr>
            <w:tcW w:w="1740" w:type="dxa"/>
            <w:vAlign w:val="bottom"/>
            <w:shd w:val="clear" w:color="auto" w:fill="D1D7EB"/>
          </w:tcPr>
          <w:p>
            <w:pPr>
              <w:spacing w:after="0"/>
              <w:rPr>
                <w:sz w:val="18"/>
                <w:szCs w:val="18"/>
                <w:color w:val="auto"/>
              </w:rPr>
            </w:pPr>
          </w:p>
        </w:tc>
        <w:tc>
          <w:tcPr>
            <w:tcW w:w="2180" w:type="dxa"/>
            <w:vAlign w:val="bottom"/>
            <w:tcBorders>
              <w:right w:val="single" w:sz="8" w:color="auto"/>
            </w:tcBorders>
            <w:shd w:val="clear" w:color="auto" w:fill="D1D7EB"/>
          </w:tcPr>
          <w:p>
            <w:pPr>
              <w:spacing w:after="0"/>
              <w:rPr>
                <w:sz w:val="18"/>
                <w:szCs w:val="18"/>
                <w:color w:val="auto"/>
              </w:rPr>
            </w:pPr>
          </w:p>
        </w:tc>
      </w:tr>
      <w:tr>
        <w:trPr>
          <w:trHeight w:val="222"/>
        </w:trPr>
        <w:tc>
          <w:tcPr>
            <w:tcW w:w="54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520" w:type="dxa"/>
            <w:vAlign w:val="bottom"/>
          </w:tcPr>
          <w:p>
            <w:pPr>
              <w:ind w:left="120"/>
              <w:spacing w:after="0"/>
              <w:rPr>
                <w:sz w:val="20"/>
                <w:szCs w:val="20"/>
                <w:color w:val="auto"/>
              </w:rPr>
            </w:pPr>
            <w:r>
              <w:rPr>
                <w:rFonts w:ascii="Arial" w:cs="Arial" w:eastAsia="Arial" w:hAnsi="Arial"/>
                <w:sz w:val="18"/>
                <w:szCs w:val="18"/>
                <w:color w:val="auto"/>
              </w:rPr>
              <w:t>Henry Schein, Inc.</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w w:val="92"/>
              </w:rPr>
              <w:t>United Natural Foods,</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w:t>
            </w:r>
          </w:p>
        </w:tc>
      </w:tr>
      <w:tr>
        <w:trPr>
          <w:trHeight w:val="196"/>
        </w:trPr>
        <w:tc>
          <w:tcPr>
            <w:tcW w:w="540" w:type="dxa"/>
            <w:vAlign w:val="bottom"/>
            <w:tcBorders>
              <w:left w:val="single" w:sz="8" w:color="auto"/>
            </w:tcBorders>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r>
      <w:tr>
        <w:trPr>
          <w:trHeight w:val="222"/>
        </w:trPr>
        <w:tc>
          <w:tcPr>
            <w:tcW w:w="540" w:type="dxa"/>
            <w:vAlign w:val="bottom"/>
            <w:tcBorders>
              <w:left w:val="single" w:sz="8" w:color="auto"/>
            </w:tcBorders>
            <w:shd w:val="clear" w:color="auto" w:fill="D1D7EB"/>
          </w:tcPr>
          <w:p>
            <w:pPr>
              <w:ind w:left="380"/>
              <w:spacing w:after="0"/>
              <w:rPr>
                <w:sz w:val="20"/>
                <w:szCs w:val="20"/>
                <w:color w:val="auto"/>
              </w:rPr>
            </w:pPr>
            <w:r>
              <w:rPr>
                <w:rFonts w:ascii="Arial" w:cs="Arial" w:eastAsia="Arial" w:hAnsi="Arial"/>
                <w:sz w:val="18"/>
                <w:szCs w:val="18"/>
                <w:color w:val="auto"/>
              </w:rPr>
              <w:t>•</w:t>
            </w:r>
          </w:p>
        </w:tc>
        <w:tc>
          <w:tcPr>
            <w:tcW w:w="3520" w:type="dxa"/>
            <w:vAlign w:val="bottom"/>
            <w:shd w:val="clear" w:color="auto" w:fill="D1D7EB"/>
          </w:tcPr>
          <w:p>
            <w:pPr>
              <w:ind w:left="120"/>
              <w:spacing w:after="0"/>
              <w:rPr>
                <w:sz w:val="20"/>
                <w:szCs w:val="20"/>
                <w:color w:val="auto"/>
              </w:rPr>
            </w:pPr>
            <w:r>
              <w:rPr>
                <w:rFonts w:ascii="Arial" w:cs="Arial" w:eastAsia="Arial" w:hAnsi="Arial"/>
                <w:sz w:val="18"/>
                <w:szCs w:val="18"/>
                <w:color w:val="auto"/>
              </w:rPr>
              <w:t>Hub Group, Inc.</w:t>
            </w:r>
          </w:p>
        </w:tc>
        <w:tc>
          <w:tcPr>
            <w:tcW w:w="440" w:type="dxa"/>
            <w:vAlign w:val="bottom"/>
            <w:shd w:val="clear" w:color="auto" w:fill="D1D7EB"/>
          </w:tcPr>
          <w:p>
            <w:pPr>
              <w:ind w:left="2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D1D7EB"/>
          </w:tcPr>
          <w:p>
            <w:pPr>
              <w:ind w:left="100"/>
              <w:spacing w:after="0"/>
              <w:rPr>
                <w:sz w:val="20"/>
                <w:szCs w:val="20"/>
                <w:color w:val="auto"/>
              </w:rPr>
            </w:pPr>
            <w:r>
              <w:rPr>
                <w:rFonts w:ascii="Arial" w:cs="Arial" w:eastAsia="Arial" w:hAnsi="Arial"/>
                <w:sz w:val="18"/>
                <w:szCs w:val="18"/>
                <w:color w:val="auto"/>
              </w:rPr>
              <w:t>W.W. Grainger, Inc.</w:t>
            </w:r>
          </w:p>
        </w:tc>
        <w:tc>
          <w:tcPr>
            <w:tcW w:w="2180" w:type="dxa"/>
            <w:vAlign w:val="bottom"/>
            <w:tcBorders>
              <w:right w:val="single" w:sz="8" w:color="auto"/>
            </w:tcBorders>
            <w:shd w:val="clear" w:color="auto" w:fill="D1D7EB"/>
          </w:tcPr>
          <w:p>
            <w:pPr>
              <w:spacing w:after="0"/>
              <w:rPr>
                <w:sz w:val="19"/>
                <w:szCs w:val="19"/>
                <w:color w:val="auto"/>
              </w:rPr>
            </w:pPr>
          </w:p>
        </w:tc>
      </w:tr>
      <w:tr>
        <w:trPr>
          <w:trHeight w:val="210"/>
        </w:trPr>
        <w:tc>
          <w:tcPr>
            <w:tcW w:w="540" w:type="dxa"/>
            <w:vAlign w:val="bottom"/>
            <w:tcBorders>
              <w:left w:val="single" w:sz="8" w:color="auto"/>
            </w:tcBorders>
            <w:shd w:val="clear" w:color="auto" w:fill="D1D7EB"/>
          </w:tcPr>
          <w:p>
            <w:pPr>
              <w:spacing w:after="0"/>
              <w:rPr>
                <w:sz w:val="18"/>
                <w:szCs w:val="18"/>
                <w:color w:val="auto"/>
              </w:rPr>
            </w:pPr>
          </w:p>
        </w:tc>
        <w:tc>
          <w:tcPr>
            <w:tcW w:w="3520" w:type="dxa"/>
            <w:vAlign w:val="bottom"/>
            <w:shd w:val="clear" w:color="auto" w:fill="D1D7EB"/>
          </w:tcPr>
          <w:p>
            <w:pPr>
              <w:spacing w:after="0"/>
              <w:rPr>
                <w:sz w:val="18"/>
                <w:szCs w:val="18"/>
                <w:color w:val="auto"/>
              </w:rPr>
            </w:pPr>
          </w:p>
        </w:tc>
        <w:tc>
          <w:tcPr>
            <w:tcW w:w="440" w:type="dxa"/>
            <w:vAlign w:val="bottom"/>
            <w:shd w:val="clear" w:color="auto" w:fill="D1D7EB"/>
          </w:tcPr>
          <w:p>
            <w:pPr>
              <w:spacing w:after="0"/>
              <w:rPr>
                <w:sz w:val="18"/>
                <w:szCs w:val="18"/>
                <w:color w:val="auto"/>
              </w:rPr>
            </w:pPr>
          </w:p>
        </w:tc>
        <w:tc>
          <w:tcPr>
            <w:tcW w:w="1740" w:type="dxa"/>
            <w:vAlign w:val="bottom"/>
            <w:shd w:val="clear" w:color="auto" w:fill="D1D7EB"/>
          </w:tcPr>
          <w:p>
            <w:pPr>
              <w:spacing w:after="0"/>
              <w:rPr>
                <w:sz w:val="18"/>
                <w:szCs w:val="18"/>
                <w:color w:val="auto"/>
              </w:rPr>
            </w:pPr>
          </w:p>
        </w:tc>
        <w:tc>
          <w:tcPr>
            <w:tcW w:w="2180" w:type="dxa"/>
            <w:vAlign w:val="bottom"/>
            <w:tcBorders>
              <w:right w:val="single" w:sz="8" w:color="auto"/>
            </w:tcBorders>
            <w:shd w:val="clear" w:color="auto" w:fill="D1D7EB"/>
          </w:tcPr>
          <w:p>
            <w:pPr>
              <w:spacing w:after="0"/>
              <w:rPr>
                <w:sz w:val="18"/>
                <w:szCs w:val="18"/>
                <w:color w:val="auto"/>
              </w:rPr>
            </w:pPr>
          </w:p>
        </w:tc>
      </w:tr>
      <w:tr>
        <w:trPr>
          <w:trHeight w:val="222"/>
        </w:trPr>
        <w:tc>
          <w:tcPr>
            <w:tcW w:w="54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520" w:type="dxa"/>
            <w:vAlign w:val="bottom"/>
          </w:tcPr>
          <w:p>
            <w:pPr>
              <w:ind w:left="120"/>
              <w:spacing w:after="0"/>
              <w:rPr>
                <w:sz w:val="20"/>
                <w:szCs w:val="20"/>
                <w:color w:val="auto"/>
              </w:rPr>
            </w:pPr>
            <w:r>
              <w:rPr>
                <w:rFonts w:ascii="Arial" w:cs="Arial" w:eastAsia="Arial" w:hAnsi="Arial"/>
                <w:sz w:val="18"/>
                <w:szCs w:val="18"/>
                <w:color w:val="auto"/>
              </w:rPr>
              <w:t>J.B. Hunt Transport Services, Inc.</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w w:val="91"/>
              </w:rPr>
              <w:t>WESCO International,</w:t>
            </w:r>
          </w:p>
        </w:tc>
        <w:tc>
          <w:tcPr>
            <w:tcW w:w="2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Inc.</w:t>
            </w:r>
          </w:p>
        </w:tc>
      </w:tr>
      <w:tr>
        <w:trPr>
          <w:trHeight w:val="196"/>
        </w:trPr>
        <w:tc>
          <w:tcPr>
            <w:tcW w:w="540" w:type="dxa"/>
            <w:vAlign w:val="bottom"/>
            <w:tcBorders>
              <w:left w:val="single" w:sz="8" w:color="auto"/>
            </w:tcBorders>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r>
      <w:tr>
        <w:trPr>
          <w:trHeight w:val="222"/>
        </w:trPr>
        <w:tc>
          <w:tcPr>
            <w:tcW w:w="540" w:type="dxa"/>
            <w:vAlign w:val="bottom"/>
            <w:tcBorders>
              <w:left w:val="single" w:sz="8" w:color="auto"/>
            </w:tcBorders>
            <w:shd w:val="clear" w:color="auto" w:fill="D1D7EB"/>
          </w:tcPr>
          <w:p>
            <w:pPr>
              <w:ind w:left="380"/>
              <w:spacing w:after="0"/>
              <w:rPr>
                <w:sz w:val="20"/>
                <w:szCs w:val="20"/>
                <w:color w:val="auto"/>
              </w:rPr>
            </w:pPr>
            <w:r>
              <w:rPr>
                <w:rFonts w:ascii="Arial" w:cs="Arial" w:eastAsia="Arial" w:hAnsi="Arial"/>
                <w:sz w:val="18"/>
                <w:szCs w:val="18"/>
                <w:color w:val="auto"/>
              </w:rPr>
              <w:t>•</w:t>
            </w:r>
          </w:p>
        </w:tc>
        <w:tc>
          <w:tcPr>
            <w:tcW w:w="3520" w:type="dxa"/>
            <w:vAlign w:val="bottom"/>
            <w:shd w:val="clear" w:color="auto" w:fill="D1D7EB"/>
          </w:tcPr>
          <w:p>
            <w:pPr>
              <w:ind w:left="120"/>
              <w:spacing w:after="0"/>
              <w:rPr>
                <w:sz w:val="20"/>
                <w:szCs w:val="20"/>
                <w:color w:val="auto"/>
              </w:rPr>
            </w:pPr>
            <w:r>
              <w:rPr>
                <w:rFonts w:ascii="Arial" w:cs="Arial" w:eastAsia="Arial" w:hAnsi="Arial"/>
                <w:sz w:val="18"/>
                <w:szCs w:val="18"/>
                <w:color w:val="auto"/>
              </w:rPr>
              <w:t>Jones Lang LaSalle Incorporated</w:t>
            </w:r>
          </w:p>
        </w:tc>
        <w:tc>
          <w:tcPr>
            <w:tcW w:w="440" w:type="dxa"/>
            <w:vAlign w:val="bottom"/>
            <w:shd w:val="clear" w:color="auto" w:fill="D1D7EB"/>
          </w:tcPr>
          <w:p>
            <w:pPr>
              <w:ind w:left="2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D1D7EB"/>
          </w:tcPr>
          <w:p>
            <w:pPr>
              <w:ind w:left="100"/>
              <w:spacing w:after="0"/>
              <w:rPr>
                <w:sz w:val="20"/>
                <w:szCs w:val="20"/>
                <w:color w:val="auto"/>
              </w:rPr>
            </w:pPr>
            <w:r>
              <w:rPr>
                <w:rFonts w:ascii="Arial" w:cs="Arial" w:eastAsia="Arial" w:hAnsi="Arial"/>
                <w:sz w:val="18"/>
                <w:szCs w:val="18"/>
                <w:color w:val="auto"/>
              </w:rPr>
              <w:t>WEX Inc.</w:t>
            </w:r>
          </w:p>
        </w:tc>
        <w:tc>
          <w:tcPr>
            <w:tcW w:w="2180" w:type="dxa"/>
            <w:vAlign w:val="bottom"/>
            <w:tcBorders>
              <w:right w:val="single" w:sz="8" w:color="auto"/>
            </w:tcBorders>
            <w:shd w:val="clear" w:color="auto" w:fill="D1D7EB"/>
          </w:tcPr>
          <w:p>
            <w:pPr>
              <w:spacing w:after="0"/>
              <w:rPr>
                <w:sz w:val="19"/>
                <w:szCs w:val="19"/>
                <w:color w:val="auto"/>
              </w:rPr>
            </w:pPr>
          </w:p>
        </w:tc>
      </w:tr>
      <w:tr>
        <w:trPr>
          <w:trHeight w:val="210"/>
        </w:trPr>
        <w:tc>
          <w:tcPr>
            <w:tcW w:w="540" w:type="dxa"/>
            <w:vAlign w:val="bottom"/>
            <w:tcBorders>
              <w:left w:val="single" w:sz="8" w:color="auto"/>
            </w:tcBorders>
            <w:shd w:val="clear" w:color="auto" w:fill="D1D7EB"/>
          </w:tcPr>
          <w:p>
            <w:pPr>
              <w:spacing w:after="0"/>
              <w:rPr>
                <w:sz w:val="18"/>
                <w:szCs w:val="18"/>
                <w:color w:val="auto"/>
              </w:rPr>
            </w:pPr>
          </w:p>
        </w:tc>
        <w:tc>
          <w:tcPr>
            <w:tcW w:w="3520" w:type="dxa"/>
            <w:vAlign w:val="bottom"/>
            <w:shd w:val="clear" w:color="auto" w:fill="D1D7EB"/>
          </w:tcPr>
          <w:p>
            <w:pPr>
              <w:spacing w:after="0"/>
              <w:rPr>
                <w:sz w:val="18"/>
                <w:szCs w:val="18"/>
                <w:color w:val="auto"/>
              </w:rPr>
            </w:pPr>
          </w:p>
        </w:tc>
        <w:tc>
          <w:tcPr>
            <w:tcW w:w="440" w:type="dxa"/>
            <w:vAlign w:val="bottom"/>
            <w:shd w:val="clear" w:color="auto" w:fill="D1D7EB"/>
          </w:tcPr>
          <w:p>
            <w:pPr>
              <w:spacing w:after="0"/>
              <w:rPr>
                <w:sz w:val="18"/>
                <w:szCs w:val="18"/>
                <w:color w:val="auto"/>
              </w:rPr>
            </w:pPr>
          </w:p>
        </w:tc>
        <w:tc>
          <w:tcPr>
            <w:tcW w:w="1740" w:type="dxa"/>
            <w:vAlign w:val="bottom"/>
            <w:shd w:val="clear" w:color="auto" w:fill="D1D7EB"/>
          </w:tcPr>
          <w:p>
            <w:pPr>
              <w:spacing w:after="0"/>
              <w:rPr>
                <w:sz w:val="18"/>
                <w:szCs w:val="18"/>
                <w:color w:val="auto"/>
              </w:rPr>
            </w:pPr>
          </w:p>
        </w:tc>
        <w:tc>
          <w:tcPr>
            <w:tcW w:w="2180" w:type="dxa"/>
            <w:vAlign w:val="bottom"/>
            <w:tcBorders>
              <w:right w:val="single" w:sz="8" w:color="auto"/>
            </w:tcBorders>
            <w:shd w:val="clear" w:color="auto" w:fill="D1D7EB"/>
          </w:tcPr>
          <w:p>
            <w:pPr>
              <w:spacing w:after="0"/>
              <w:rPr>
                <w:sz w:val="18"/>
                <w:szCs w:val="18"/>
                <w:color w:val="auto"/>
              </w:rPr>
            </w:pPr>
          </w:p>
        </w:tc>
      </w:tr>
      <w:tr>
        <w:trPr>
          <w:trHeight w:val="222"/>
        </w:trPr>
        <w:tc>
          <w:tcPr>
            <w:tcW w:w="54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520" w:type="dxa"/>
            <w:vAlign w:val="bottom"/>
          </w:tcPr>
          <w:p>
            <w:pPr>
              <w:ind w:left="120"/>
              <w:spacing w:after="0"/>
              <w:rPr>
                <w:sz w:val="20"/>
                <w:szCs w:val="20"/>
                <w:color w:val="auto"/>
              </w:rPr>
            </w:pPr>
            <w:r>
              <w:rPr>
                <w:rFonts w:ascii="Arial" w:cs="Arial" w:eastAsia="Arial" w:hAnsi="Arial"/>
                <w:sz w:val="18"/>
                <w:szCs w:val="18"/>
                <w:color w:val="auto"/>
              </w:rPr>
              <w:t>Kirby Corporation</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rPr>
              <w:t>XPO Logistics, Inc.</w:t>
            </w:r>
          </w:p>
        </w:tc>
        <w:tc>
          <w:tcPr>
            <w:tcW w:w="2180" w:type="dxa"/>
            <w:vAlign w:val="bottom"/>
            <w:tcBorders>
              <w:right w:val="single" w:sz="8" w:color="auto"/>
            </w:tcBorders>
          </w:tcPr>
          <w:p>
            <w:pPr>
              <w:spacing w:after="0"/>
              <w:rPr>
                <w:sz w:val="19"/>
                <w:szCs w:val="19"/>
                <w:color w:val="auto"/>
              </w:rPr>
            </w:pPr>
          </w:p>
        </w:tc>
      </w:tr>
      <w:tr>
        <w:trPr>
          <w:trHeight w:val="196"/>
        </w:trPr>
        <w:tc>
          <w:tcPr>
            <w:tcW w:w="540" w:type="dxa"/>
            <w:vAlign w:val="bottom"/>
            <w:tcBorders>
              <w:left w:val="single" w:sz="8" w:color="auto"/>
            </w:tcBorders>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r>
      <w:tr>
        <w:trPr>
          <w:trHeight w:val="222"/>
        </w:trPr>
        <w:tc>
          <w:tcPr>
            <w:tcW w:w="540" w:type="dxa"/>
            <w:vAlign w:val="bottom"/>
            <w:tcBorders>
              <w:left w:val="single" w:sz="8" w:color="auto"/>
            </w:tcBorders>
            <w:shd w:val="clear" w:color="auto" w:fill="D1D7EB"/>
          </w:tcPr>
          <w:p>
            <w:pPr>
              <w:ind w:left="380"/>
              <w:spacing w:after="0"/>
              <w:rPr>
                <w:sz w:val="20"/>
                <w:szCs w:val="20"/>
                <w:color w:val="auto"/>
              </w:rPr>
            </w:pPr>
            <w:r>
              <w:rPr>
                <w:rFonts w:ascii="Arial" w:cs="Arial" w:eastAsia="Arial" w:hAnsi="Arial"/>
                <w:sz w:val="18"/>
                <w:szCs w:val="18"/>
                <w:color w:val="auto"/>
              </w:rPr>
              <w:t>•</w:t>
            </w:r>
          </w:p>
        </w:tc>
        <w:tc>
          <w:tcPr>
            <w:tcW w:w="3520" w:type="dxa"/>
            <w:vAlign w:val="bottom"/>
            <w:shd w:val="clear" w:color="auto" w:fill="D1D7EB"/>
          </w:tcPr>
          <w:p>
            <w:pPr>
              <w:ind w:left="120"/>
              <w:spacing w:after="0"/>
              <w:rPr>
                <w:sz w:val="20"/>
                <w:szCs w:val="20"/>
                <w:color w:val="auto"/>
              </w:rPr>
            </w:pPr>
            <w:r>
              <w:rPr>
                <w:rFonts w:ascii="Arial" w:cs="Arial" w:eastAsia="Arial" w:hAnsi="Arial"/>
                <w:sz w:val="18"/>
                <w:szCs w:val="18"/>
                <w:color w:val="auto"/>
              </w:rPr>
              <w:t>Landstar System, Inc.</w:t>
            </w:r>
          </w:p>
        </w:tc>
        <w:tc>
          <w:tcPr>
            <w:tcW w:w="440" w:type="dxa"/>
            <w:vAlign w:val="bottom"/>
            <w:shd w:val="clear" w:color="auto" w:fill="D1D7EB"/>
          </w:tcPr>
          <w:p>
            <w:pPr>
              <w:spacing w:after="0"/>
              <w:rPr>
                <w:sz w:val="19"/>
                <w:szCs w:val="19"/>
                <w:color w:val="auto"/>
              </w:rPr>
            </w:pPr>
          </w:p>
        </w:tc>
        <w:tc>
          <w:tcPr>
            <w:tcW w:w="1740" w:type="dxa"/>
            <w:vAlign w:val="bottom"/>
            <w:shd w:val="clear" w:color="auto" w:fill="D1D7EB"/>
          </w:tcPr>
          <w:p>
            <w:pPr>
              <w:spacing w:after="0"/>
              <w:rPr>
                <w:sz w:val="19"/>
                <w:szCs w:val="19"/>
                <w:color w:val="auto"/>
              </w:rPr>
            </w:pPr>
          </w:p>
        </w:tc>
        <w:tc>
          <w:tcPr>
            <w:tcW w:w="2180" w:type="dxa"/>
            <w:vAlign w:val="bottom"/>
            <w:tcBorders>
              <w:right w:val="single" w:sz="8" w:color="auto"/>
            </w:tcBorders>
            <w:shd w:val="clear" w:color="auto" w:fill="D1D7EB"/>
          </w:tcPr>
          <w:p>
            <w:pPr>
              <w:spacing w:after="0"/>
              <w:rPr>
                <w:sz w:val="19"/>
                <w:szCs w:val="19"/>
                <w:color w:val="auto"/>
              </w:rPr>
            </w:pPr>
          </w:p>
        </w:tc>
      </w:tr>
      <w:tr>
        <w:trPr>
          <w:trHeight w:val="230"/>
        </w:trPr>
        <w:tc>
          <w:tcPr>
            <w:tcW w:w="540" w:type="dxa"/>
            <w:vAlign w:val="bottom"/>
            <w:tcBorders>
              <w:left w:val="single" w:sz="8" w:color="auto"/>
              <w:bottom w:val="single" w:sz="8" w:color="0048E0"/>
            </w:tcBorders>
            <w:shd w:val="clear" w:color="auto" w:fill="D1D7EB"/>
          </w:tcPr>
          <w:p>
            <w:pPr>
              <w:spacing w:after="0"/>
              <w:rPr>
                <w:sz w:val="20"/>
                <w:szCs w:val="20"/>
                <w:color w:val="auto"/>
              </w:rPr>
            </w:pPr>
          </w:p>
        </w:tc>
        <w:tc>
          <w:tcPr>
            <w:tcW w:w="3520" w:type="dxa"/>
            <w:vAlign w:val="bottom"/>
            <w:tcBorders>
              <w:bottom w:val="single" w:sz="8" w:color="0048E0"/>
            </w:tcBorders>
            <w:shd w:val="clear" w:color="auto" w:fill="D1D7EB"/>
          </w:tcPr>
          <w:p>
            <w:pPr>
              <w:spacing w:after="0"/>
              <w:rPr>
                <w:sz w:val="20"/>
                <w:szCs w:val="20"/>
                <w:color w:val="auto"/>
              </w:rPr>
            </w:pPr>
          </w:p>
        </w:tc>
        <w:tc>
          <w:tcPr>
            <w:tcW w:w="440" w:type="dxa"/>
            <w:vAlign w:val="bottom"/>
            <w:tcBorders>
              <w:bottom w:val="single" w:sz="8" w:color="0048E0"/>
            </w:tcBorders>
            <w:shd w:val="clear" w:color="auto" w:fill="D1D7EB"/>
          </w:tcPr>
          <w:p>
            <w:pPr>
              <w:spacing w:after="0"/>
              <w:rPr>
                <w:sz w:val="20"/>
                <w:szCs w:val="20"/>
                <w:color w:val="auto"/>
              </w:rPr>
            </w:pPr>
          </w:p>
        </w:tc>
        <w:tc>
          <w:tcPr>
            <w:tcW w:w="1740" w:type="dxa"/>
            <w:vAlign w:val="bottom"/>
            <w:tcBorders>
              <w:bottom w:val="single" w:sz="8" w:color="0048E0"/>
            </w:tcBorders>
            <w:shd w:val="clear" w:color="auto" w:fill="D1D7EB"/>
          </w:tcPr>
          <w:p>
            <w:pPr>
              <w:spacing w:after="0"/>
              <w:rPr>
                <w:sz w:val="20"/>
                <w:szCs w:val="20"/>
                <w:color w:val="auto"/>
              </w:rPr>
            </w:pPr>
          </w:p>
        </w:tc>
        <w:tc>
          <w:tcPr>
            <w:tcW w:w="2180" w:type="dxa"/>
            <w:vAlign w:val="bottom"/>
            <w:tcBorders>
              <w:bottom w:val="single" w:sz="8" w:color="0048E0"/>
              <w:right w:val="single" w:sz="8" w:color="auto"/>
            </w:tcBorders>
            <w:shd w:val="clear" w:color="auto" w:fill="D1D7EB"/>
          </w:tcPr>
          <w:p>
            <w:pPr>
              <w:spacing w:after="0"/>
              <w:rPr>
                <w:sz w:val="20"/>
                <w:szCs w:val="20"/>
                <w:color w:val="auto"/>
              </w:rPr>
            </w:pPr>
          </w:p>
        </w:tc>
      </w:tr>
    </w:tbl>
    <w:p>
      <w:pPr>
        <w:spacing w:after="0" w:line="208" w:lineRule="exact"/>
        <w:rPr>
          <w:sz w:val="20"/>
          <w:szCs w:val="20"/>
          <w:color w:val="auto"/>
        </w:rPr>
      </w:pPr>
    </w:p>
    <w:p>
      <w:pPr>
        <w:ind w:right="40" w:firstLine="605"/>
        <w:spacing w:after="0" w:line="324" w:lineRule="auto"/>
        <w:rPr>
          <w:sz w:val="20"/>
          <w:szCs w:val="20"/>
          <w:color w:val="auto"/>
        </w:rPr>
      </w:pPr>
      <w:r>
        <w:rPr>
          <w:rFonts w:ascii="Arial" w:cs="Arial" w:eastAsia="Arial" w:hAnsi="Arial"/>
          <w:sz w:val="15"/>
          <w:szCs w:val="15"/>
          <w:color w:val="auto"/>
        </w:rPr>
        <w:t>Although the Committee believes comparison compensation and performance data can be useful, the Committee does not believe that any comparison group company, whose composition is based solely on our industry classification, revenues, net income and/or market capitalization, is fully reflective of the markets in which we compete for talent. Consequently, the Committee does not set the executives' target total direct compensation, or any of the target components of such compensation, at any specific percentile of the comparison group. Rather, it considers, as part of the overall compensation discussion, base salary, as well as the target and actual short- and long-term incentive compensation of the NEOs against the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of the comparison group.</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Independent Compensation Consultant</w:t>
      </w:r>
    </w:p>
    <w:p>
      <w:pPr>
        <w:spacing w:after="0" w:line="225" w:lineRule="exact"/>
        <w:rPr>
          <w:sz w:val="20"/>
          <w:szCs w:val="20"/>
          <w:color w:val="auto"/>
        </w:rPr>
      </w:pPr>
    </w:p>
    <w:p>
      <w:pPr>
        <w:ind w:right="40" w:firstLine="614"/>
        <w:spacing w:after="0" w:line="254" w:lineRule="auto"/>
        <w:rPr>
          <w:sz w:val="20"/>
          <w:szCs w:val="20"/>
          <w:color w:val="auto"/>
        </w:rPr>
      </w:pPr>
      <w:r>
        <w:rPr>
          <w:rFonts w:ascii="Arial" w:cs="Arial" w:eastAsia="Arial" w:hAnsi="Arial"/>
          <w:sz w:val="18"/>
          <w:szCs w:val="18"/>
          <w:color w:val="auto"/>
        </w:rPr>
        <w:t>In connection with the setting of 2019 executive compensation, the Committee engaged and received advice and assistance from Compensation Strategies, Inc. ("Compensation Strategies"), its independent compensation consultant. Compensation Strategies provides services solely to the Committee and reports directly and exclusively to the Committee. The Committee has assessed the independence of Compensation Strategies pursuant to SEC and NYSE rules and the guidelines of its Charter and concluded that Compensation Strategies' work for the Committee does not raise any conflict of interest and that it is independent.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2019, Compensation Strategies provided assistance to the Committee as follows:</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assisted in the preparation and review of quantitative analysis used in the compensation setting process;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assisted the Committee in developing a competitive analysis of our NEO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provided recommendations for the 2019 compensation for our NEOs;</w:t>
      </w:r>
    </w:p>
    <w:p>
      <w:pPr>
        <w:spacing w:after="0" w:line="238" w:lineRule="exact"/>
        <w:rPr>
          <w:rFonts w:ascii="Arial" w:cs="Arial" w:eastAsia="Arial" w:hAnsi="Arial"/>
          <w:sz w:val="18"/>
          <w:szCs w:val="18"/>
          <w:color w:val="auto"/>
        </w:rPr>
      </w:pPr>
    </w:p>
    <w:p>
      <w:pPr>
        <w:ind w:left="1080" w:right="820" w:hanging="532"/>
        <w:spacing w:after="0" w:line="254"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performed a competitive analysis of compensation levels for non-employee directors and provided recommendations for our director compensation program;</w:t>
      </w: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reviewed the Compensation Discussion and Analysis in the annual proxy statement;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provided general advice on agreements or other documents the Committee was asked to approve;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provided updates on regulatory developments and market trends related to executive compensation;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assisted the Committee with the design of the 2020 Omnibus Plan.</w:t>
      </w:r>
    </w:p>
    <w:p>
      <w:pPr>
        <w:spacing w:after="0" w:line="15"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Compensation Program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Elements of Compensation</w:t>
      </w:r>
    </w:p>
    <w:p>
      <w:pPr>
        <w:spacing w:after="0" w:line="225" w:lineRule="exact"/>
        <w:rPr>
          <w:sz w:val="20"/>
          <w:szCs w:val="20"/>
          <w:color w:val="auto"/>
        </w:rPr>
      </w:pPr>
    </w:p>
    <w:p>
      <w:pPr>
        <w:ind w:right="320" w:firstLine="611"/>
        <w:spacing w:after="0" w:line="331" w:lineRule="auto"/>
        <w:rPr>
          <w:sz w:val="20"/>
          <w:szCs w:val="20"/>
          <w:color w:val="auto"/>
        </w:rPr>
      </w:pPr>
      <w:r>
        <w:rPr>
          <w:rFonts w:ascii="Arial" w:cs="Arial" w:eastAsia="Arial" w:hAnsi="Arial"/>
          <w:sz w:val="16"/>
          <w:szCs w:val="16"/>
          <w:color w:val="auto"/>
        </w:rPr>
        <w:t>The Committee uses a variety of compensation elements to establish individual compensation programs for each of its NEOs. The table below sets forth the compensation elements that the Committee uses in its programs and the objective of each of these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94615</wp:posOffset>
            </wp:positionV>
            <wp:extent cx="5863590" cy="56146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63590" cy="561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firstLine="614"/>
        <w:spacing w:after="0" w:line="252" w:lineRule="auto"/>
        <w:rPr>
          <w:sz w:val="20"/>
          <w:szCs w:val="20"/>
          <w:color w:val="auto"/>
        </w:rPr>
      </w:pPr>
      <w:r>
        <w:rPr>
          <w:rFonts w:ascii="Arial" w:cs="Arial" w:eastAsia="Arial" w:hAnsi="Arial"/>
          <w:sz w:val="18"/>
          <w:szCs w:val="18"/>
          <w:color w:val="auto"/>
        </w:rPr>
        <w:t>In addition to the compensation elements set forth above, the Committee may grant additional equity awards, including sign-on awards, special retention awards or other discretionary awards from time to time. The Committee uses these awards to attract, reward, incentivize and retain key executives that it believes are integral to our overall long-term success, as well as to promote business continuity, drive achievement and growth and ensure proper focus on achieving our long-term strategic objectives.</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2019 Compensation Program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Overview</w:t>
      </w:r>
    </w:p>
    <w:p>
      <w:pPr>
        <w:spacing w:after="0" w:line="225" w:lineRule="exact"/>
        <w:rPr>
          <w:sz w:val="20"/>
          <w:szCs w:val="20"/>
          <w:color w:val="auto"/>
        </w:rPr>
      </w:pPr>
    </w:p>
    <w:p>
      <w:pPr>
        <w:ind w:right="160" w:firstLine="614"/>
        <w:spacing w:after="0" w:line="291" w:lineRule="auto"/>
        <w:rPr>
          <w:sz w:val="20"/>
          <w:szCs w:val="20"/>
          <w:color w:val="auto"/>
        </w:rPr>
      </w:pPr>
      <w:r>
        <w:rPr>
          <w:rFonts w:ascii="Arial" w:cs="Arial" w:eastAsia="Arial" w:hAnsi="Arial"/>
          <w:sz w:val="16"/>
          <w:szCs w:val="16"/>
          <w:color w:val="auto"/>
        </w:rPr>
        <w:t>In 2019, the Committee used each of the compensation elements described above in establishing the executive compensation programs for Messrs. Kasbar, Birns, Smith, Crosby and Rau and determined the amounts that could be earned for each of these elements in accordance with our pay-for-performance philosophy. Base salary was the only fixed portion of the NEOs' direct compensation. The remainder of the direct compensation for our NEOs was variable and designed to reward: (1) each of our NEOs for achieving specified levels of EBITDA, EPS and ROIC, (2) each of our NEOs for achievement of strategic operational and organizational objectives that the Committee believes would contribute to our long-term growth, and (3) for Messrs. Crosby and Rau, for achieving specified levels of Operating Income in their respective lines of sight.</w:t>
      </w:r>
    </w:p>
    <w:p>
      <w:pPr>
        <w:spacing w:after="0" w:line="174" w:lineRule="exact"/>
        <w:rPr>
          <w:sz w:val="20"/>
          <w:szCs w:val="20"/>
          <w:color w:val="auto"/>
        </w:rPr>
      </w:pPr>
    </w:p>
    <w:p>
      <w:pPr>
        <w:ind w:firstLine="614"/>
        <w:spacing w:after="0" w:line="288" w:lineRule="auto"/>
        <w:rPr>
          <w:sz w:val="20"/>
          <w:szCs w:val="20"/>
          <w:color w:val="auto"/>
        </w:rPr>
      </w:pPr>
      <w:r>
        <w:rPr>
          <w:rFonts w:ascii="Arial" w:cs="Arial" w:eastAsia="Arial" w:hAnsi="Arial"/>
          <w:sz w:val="16"/>
          <w:szCs w:val="16"/>
          <w:color w:val="auto"/>
        </w:rPr>
        <w:t>For 2019, the Committee continued the performance-based components of our annual incentive program that were first introduced in 2018. Specifically, the Committee continued the use of targeted levels of EBITDA, which we define as income from operations, excluding the impact of depreciation and amortization and adjusted for non-operational items as appropriate, for the annual incentive program. The Committee decided that based on our current strategic focus, EBITDA was the appropriate metric as it is a better indicator of our business' financial performance and each NEO can more directly impact the result. Further, it is aligned with the metrics being provided to our investors as measurements of our future operational success. Threshold, target and maximum levels were set based on the achievement of specified levels of growth in EBITDA over the previous year as well as our internal budgets. While each of these performance levels were based on EBITDA, the Committee intended, and did, adjust the actual results for items that are considered to be non-operational and are not representative of our core business, such as those associated with acquisition-related charges and restructuring-related costs.</w:t>
      </w:r>
    </w:p>
    <w:p>
      <w:pPr>
        <w:spacing w:after="0" w:line="178" w:lineRule="exact"/>
        <w:rPr>
          <w:sz w:val="20"/>
          <w:szCs w:val="20"/>
          <w:color w:val="auto"/>
        </w:rPr>
      </w:pPr>
    </w:p>
    <w:p>
      <w:pPr>
        <w:ind w:right="60" w:firstLine="611"/>
        <w:spacing w:after="0" w:line="253" w:lineRule="auto"/>
        <w:rPr>
          <w:sz w:val="20"/>
          <w:szCs w:val="20"/>
          <w:color w:val="auto"/>
        </w:rPr>
      </w:pPr>
      <w:r>
        <w:rPr>
          <w:rFonts w:ascii="Arial" w:cs="Arial" w:eastAsia="Arial" w:hAnsi="Arial"/>
          <w:sz w:val="18"/>
          <w:szCs w:val="18"/>
          <w:color w:val="auto"/>
        </w:rPr>
        <w:t>The Committee also continued to utilize the multi-year Performance Share Program ("PSP") in the form of Performance SSARs to serve as an overlay to the core compensation program. As in prior years, this long-term incentive was based on three-year growth in EPS. However, due in part on our shareholder engagement initiatives, including conversations with investors, the Committee decided to alter the PSP performance metric by adding our ROIC as a modifier to adjust, positively or negatively, the number of Performance SSARs earned from EPS Growth during the performance period at each level of EPS. The Committee believes that while growth in EPS reflects execution of the strategy to grow the Company, ROIC measures the efficiency with which our NEOs allocate capital resources to drive that growth, taking into account the quantity of earnings, the quality of earnings and investments that drive sustainable growth.</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Base Salary</w:t>
      </w:r>
    </w:p>
    <w:p>
      <w:pPr>
        <w:spacing w:after="0" w:line="225" w:lineRule="exact"/>
        <w:rPr>
          <w:sz w:val="20"/>
          <w:szCs w:val="20"/>
          <w:color w:val="auto"/>
        </w:rPr>
      </w:pPr>
    </w:p>
    <w:p>
      <w:pPr>
        <w:ind w:right="100" w:firstLine="614"/>
        <w:spacing w:after="0" w:line="298" w:lineRule="auto"/>
        <w:rPr>
          <w:sz w:val="20"/>
          <w:szCs w:val="20"/>
          <w:color w:val="auto"/>
        </w:rPr>
      </w:pPr>
      <w:r>
        <w:rPr>
          <w:rFonts w:ascii="Arial" w:cs="Arial" w:eastAsia="Arial" w:hAnsi="Arial"/>
          <w:sz w:val="16"/>
          <w:szCs w:val="16"/>
          <w:color w:val="auto"/>
        </w:rPr>
        <w:t>Base salary is the only fixed portion of our compensation program for our NEOs. The base salary for each NEO is based on various factors, including position, responsibility, experience, tenure and capacity for growth. In March 2019, the Committee reviewed the base salaries for our NEOs and determined to increase Mr. Rau's salary by $50,000 to gradually make his compensation more competitive with industry levels and to reflect his experience, tenure and contribution to the Company. No other changes to NEO base salaries were made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Annual Incentive Program</w:t>
      </w:r>
    </w:p>
    <w:p>
      <w:pPr>
        <w:spacing w:after="0" w:line="225" w:lineRule="exact"/>
        <w:rPr>
          <w:sz w:val="20"/>
          <w:szCs w:val="20"/>
          <w:color w:val="auto"/>
        </w:rPr>
      </w:pPr>
    </w:p>
    <w:p>
      <w:pPr>
        <w:ind w:right="20" w:firstLine="611"/>
        <w:spacing w:after="0" w:line="252" w:lineRule="auto"/>
        <w:rPr>
          <w:sz w:val="20"/>
          <w:szCs w:val="20"/>
          <w:color w:val="auto"/>
        </w:rPr>
      </w:pPr>
      <w:r>
        <w:rPr>
          <w:rFonts w:ascii="Arial" w:cs="Arial" w:eastAsia="Arial" w:hAnsi="Arial"/>
          <w:sz w:val="18"/>
          <w:szCs w:val="18"/>
          <w:color w:val="auto"/>
        </w:rPr>
        <w:t>The Committee's design of the annual incentive compensation program is intended to promote investments in near-term and long-term growth opportunities, as well as motivate and reward annual performance. As such, the annual incentive program for each of Messrs. Kasbar, Birns, Smith, Crosby and Rau consisted of a mix of performance-based incentive awards based on annual EBITDA growth</w:t>
      </w:r>
    </w:p>
    <w:p>
      <w:pPr>
        <w:spacing w:after="0" w:line="2"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31" w:lineRule="auto"/>
        <w:rPr>
          <w:sz w:val="20"/>
          <w:szCs w:val="20"/>
          <w:color w:val="auto"/>
        </w:rPr>
      </w:pPr>
      <w:r>
        <w:rPr>
          <w:rFonts w:ascii="Arial" w:cs="Arial" w:eastAsia="Arial" w:hAnsi="Arial"/>
          <w:sz w:val="16"/>
          <w:szCs w:val="16"/>
          <w:color w:val="auto"/>
        </w:rPr>
        <w:t>and, for Messrs. Crosby and Rau, also growth in Operating Income for their respective lines of sight. Each NEO was also provided the opportunity to earn a strategic objective cash incentive award based on the individual's performance against certain strategic operational and organizational objectives.</w:t>
      </w:r>
    </w:p>
    <w:p>
      <w:pPr>
        <w:spacing w:after="0" w:line="14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0048E0"/>
        </w:rPr>
        <w:t>Performance-Related Incentive Awards</w:t>
      </w:r>
    </w:p>
    <w:p>
      <w:pPr>
        <w:spacing w:after="0" w:line="225" w:lineRule="exact"/>
        <w:rPr>
          <w:sz w:val="20"/>
          <w:szCs w:val="20"/>
          <w:color w:val="auto"/>
        </w:rPr>
      </w:pPr>
    </w:p>
    <w:p>
      <w:pPr>
        <w:ind w:right="80" w:firstLine="614"/>
        <w:spacing w:after="0" w:line="291" w:lineRule="auto"/>
        <w:rPr>
          <w:sz w:val="20"/>
          <w:szCs w:val="20"/>
          <w:color w:val="auto"/>
        </w:rPr>
      </w:pPr>
      <w:r>
        <w:rPr>
          <w:rFonts w:ascii="Arial" w:cs="Arial" w:eastAsia="Arial" w:hAnsi="Arial"/>
          <w:sz w:val="16"/>
          <w:szCs w:val="16"/>
          <w:color w:val="auto"/>
        </w:rPr>
        <w:t>In 2019, our performance-related incentive awards were structured so that they are aligned with each NEO's responsibilities. Accordingly, Messrs. Kasbar, Birns and Smith's compensation was based on EBITDA growth at the consolidated level. The Committee believes that this metric is appropriate because Messrs. Kasbar, Birns and Smith have roles that directly affect the strategic direction of the Company and our overall performance on a consolidated basis. For Messrs. Crosby and Rau, who each individually oversee a component of our operations, the Committee decided to award a portion of their performance-related incentive award based on EBITDA achievement and a portion based on the Operating Income for select lines of sight for which they have responsibility and for which the Committee believes they can impact achievement levels.</w:t>
      </w:r>
    </w:p>
    <w:p>
      <w:pPr>
        <w:spacing w:after="0" w:line="174" w:lineRule="exact"/>
        <w:rPr>
          <w:sz w:val="20"/>
          <w:szCs w:val="20"/>
          <w:color w:val="auto"/>
        </w:rPr>
      </w:pPr>
    </w:p>
    <w:p>
      <w:pPr>
        <w:ind w:right="20" w:firstLine="605"/>
        <w:spacing w:after="0" w:line="254" w:lineRule="auto"/>
        <w:rPr>
          <w:sz w:val="20"/>
          <w:szCs w:val="20"/>
          <w:color w:val="auto"/>
        </w:rPr>
      </w:pPr>
      <w:r>
        <w:rPr>
          <w:rFonts w:ascii="Arial" w:cs="Arial" w:eastAsia="Arial" w:hAnsi="Arial"/>
          <w:sz w:val="18"/>
          <w:szCs w:val="18"/>
          <w:color w:val="auto"/>
        </w:rPr>
        <w:t>As in prior years, the performance-related incentive award for 2019 was payable in cash and equity with the Committee establishing threshold levels at which each component would begin to be earned. The Committee then established the amount of cash and equity that would be earned at target and maximum performance levels. The Committee believes that awarding a portion of the annual performance-related incentive award in equity that vests over time once earned further aligns our NEOs interests with the interests of our shareholders and encourages executive decision-making that maximizes value creation over the long-term and leads to share price appreciation.</w:t>
      </w:r>
    </w:p>
    <w:p>
      <w:pPr>
        <w:spacing w:after="0" w:line="201" w:lineRule="exact"/>
        <w:rPr>
          <w:sz w:val="20"/>
          <w:szCs w:val="20"/>
          <w:color w:val="auto"/>
        </w:rPr>
      </w:pPr>
    </w:p>
    <w:p>
      <w:pPr>
        <w:ind w:firstLine="614"/>
        <w:spacing w:after="0" w:line="294" w:lineRule="auto"/>
        <w:rPr>
          <w:sz w:val="20"/>
          <w:szCs w:val="20"/>
          <w:color w:val="auto"/>
        </w:rPr>
      </w:pPr>
      <w:r>
        <w:rPr>
          <w:rFonts w:ascii="Arial" w:cs="Arial" w:eastAsia="Arial" w:hAnsi="Arial"/>
          <w:sz w:val="16"/>
          <w:szCs w:val="16"/>
          <w:color w:val="auto"/>
        </w:rPr>
        <w:t>In March of the subsequent year, the Committee determines the extent to which the level of financial performance was achieved and thereafter the dollar value of any cash or equity earned by each NEO. In the event that growth falls anywhere between the specified performance levels, linear interpolation is applied to determine the appropriate payout. The amount of equity awarded is calculated by dividing the dollar amount earned by the NEO for EBITDA Growth by the closing price of our common stock on the NYSE on the date of issuance in March of the year following the performance year. Once issued, the equity vests ratably in equal annual installments over the following three years, beginning on the first anniversary of the grant date.</w:t>
      </w:r>
    </w:p>
    <w:p>
      <w:pPr>
        <w:spacing w:after="0" w:line="169" w:lineRule="exact"/>
        <w:rPr>
          <w:sz w:val="20"/>
          <w:szCs w:val="20"/>
          <w:color w:val="auto"/>
        </w:rPr>
      </w:pPr>
    </w:p>
    <w:p>
      <w:pPr>
        <w:ind w:right="60" w:firstLine="614"/>
        <w:spacing w:after="0" w:line="252" w:lineRule="auto"/>
        <w:rPr>
          <w:sz w:val="20"/>
          <w:szCs w:val="20"/>
          <w:color w:val="auto"/>
        </w:rPr>
      </w:pPr>
      <w:r>
        <w:rPr>
          <w:rFonts w:ascii="Arial" w:cs="Arial" w:eastAsia="Arial" w:hAnsi="Arial"/>
          <w:sz w:val="18"/>
          <w:szCs w:val="18"/>
          <w:color w:val="auto"/>
        </w:rPr>
        <w:t>For 2019, the Committee established the following threshold, target and maximum opportunities for our performance-related incentive awards and the amounts that would be paid in cash and equity. As in prior years, the Committee chose to use RSUs for the equity portion of the annual performance-related incentive award rather than restricted stock based on tax considerations.</w:t>
      </w:r>
    </w:p>
    <w:p>
      <w:pPr>
        <w:spacing w:after="0" w:line="2"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0048E0"/>
        </w:rPr>
        <w:t>Company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147955</wp:posOffset>
            </wp:positionV>
            <wp:extent cx="4277360" cy="557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77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E"/>
        </w:rPr>
        <w:t>Bonus Opportunity – EBITDA</w:t>
      </w:r>
    </w:p>
    <w:p>
      <w:pPr>
        <w:spacing w:after="0" w:line="41" w:lineRule="exact"/>
        <w:rPr>
          <w:sz w:val="20"/>
          <w:szCs w:val="20"/>
          <w:color w:val="auto"/>
        </w:rPr>
      </w:pPr>
    </w:p>
    <w:tbl>
      <w:tblPr>
        <w:tblLayout w:type="fixed"/>
        <w:tblInd w:w="2250" w:type="dxa"/>
        <w:tblCellMar>
          <w:top w:w="0" w:type="dxa"/>
          <w:left w:w="0" w:type="dxa"/>
          <w:bottom w:w="0" w:type="dxa"/>
          <w:right w:w="0" w:type="dxa"/>
        </w:tblCellMar>
      </w:tblPr>
      <w:tr>
        <w:trPr>
          <w:trHeight w:val="212"/>
        </w:trPr>
        <w:tc>
          <w:tcPr>
            <w:tcW w:w="2000" w:type="dxa"/>
            <w:vAlign w:val="bottom"/>
            <w:tcBorders>
              <w:left w:val="single" w:sz="8" w:color="00529B"/>
            </w:tcBorders>
            <w:shd w:val="clear" w:color="auto" w:fill="00529B"/>
          </w:tcPr>
          <w:p>
            <w:pPr>
              <w:ind w:left="280"/>
              <w:spacing w:after="0"/>
              <w:rPr>
                <w:sz w:val="20"/>
                <w:szCs w:val="20"/>
                <w:color w:val="auto"/>
              </w:rPr>
            </w:pPr>
            <w:r>
              <w:rPr>
                <w:rFonts w:ascii="Arial" w:cs="Arial" w:eastAsia="Arial" w:hAnsi="Arial"/>
                <w:sz w:val="18"/>
                <w:szCs w:val="18"/>
                <w:b w:val="1"/>
                <w:bCs w:val="1"/>
                <w:color w:val="FFFFFE"/>
              </w:rPr>
              <w:t>NEO</w:t>
            </w:r>
          </w:p>
        </w:tc>
        <w:tc>
          <w:tcPr>
            <w:tcW w:w="1020" w:type="dxa"/>
            <w:vAlign w:val="bottom"/>
            <w:shd w:val="clear" w:color="auto" w:fill="00529B"/>
          </w:tcPr>
          <w:p>
            <w:pPr>
              <w:spacing w:after="0"/>
              <w:rPr>
                <w:sz w:val="18"/>
                <w:szCs w:val="18"/>
                <w:color w:val="auto"/>
              </w:rPr>
            </w:pPr>
          </w:p>
        </w:tc>
        <w:tc>
          <w:tcPr>
            <w:tcW w:w="1040" w:type="dxa"/>
            <w:vAlign w:val="bottom"/>
            <w:shd w:val="clear" w:color="auto" w:fill="00529B"/>
          </w:tcPr>
          <w:p>
            <w:pPr>
              <w:jc w:val="right"/>
              <w:ind w:right="112"/>
              <w:spacing w:after="0"/>
              <w:rPr>
                <w:sz w:val="20"/>
                <w:szCs w:val="20"/>
                <w:color w:val="auto"/>
              </w:rPr>
            </w:pPr>
            <w:r>
              <w:rPr>
                <w:rFonts w:ascii="Arial" w:cs="Arial" w:eastAsia="Arial" w:hAnsi="Arial"/>
                <w:sz w:val="18"/>
                <w:szCs w:val="18"/>
                <w:b w:val="1"/>
                <w:bCs w:val="1"/>
                <w:color w:val="FFFFFE"/>
                <w:w w:val="94"/>
              </w:rPr>
              <w:t>Threshold</w:t>
            </w:r>
          </w:p>
        </w:tc>
        <w:tc>
          <w:tcPr>
            <w:tcW w:w="300" w:type="dxa"/>
            <w:vAlign w:val="bottom"/>
            <w:shd w:val="clear" w:color="auto" w:fill="00529B"/>
          </w:tcPr>
          <w:p>
            <w:pPr>
              <w:spacing w:after="0"/>
              <w:rPr>
                <w:sz w:val="18"/>
                <w:szCs w:val="18"/>
                <w:color w:val="auto"/>
              </w:rPr>
            </w:pPr>
          </w:p>
        </w:tc>
        <w:tc>
          <w:tcPr>
            <w:tcW w:w="940" w:type="dxa"/>
            <w:vAlign w:val="bottom"/>
            <w:shd w:val="clear" w:color="auto" w:fill="00529B"/>
          </w:tcPr>
          <w:p>
            <w:pPr>
              <w:jc w:val="right"/>
              <w:ind w:right="232"/>
              <w:spacing w:after="0"/>
              <w:rPr>
                <w:sz w:val="20"/>
                <w:szCs w:val="20"/>
                <w:color w:val="auto"/>
              </w:rPr>
            </w:pPr>
            <w:r>
              <w:rPr>
                <w:rFonts w:ascii="Arial" w:cs="Arial" w:eastAsia="Arial" w:hAnsi="Arial"/>
                <w:sz w:val="18"/>
                <w:szCs w:val="18"/>
                <w:b w:val="1"/>
                <w:bCs w:val="1"/>
                <w:color w:val="FFFFFE"/>
              </w:rPr>
              <w:t>Target</w:t>
            </w:r>
          </w:p>
        </w:tc>
        <w:tc>
          <w:tcPr>
            <w:tcW w:w="240" w:type="dxa"/>
            <w:vAlign w:val="bottom"/>
            <w:shd w:val="clear" w:color="auto" w:fill="00529B"/>
          </w:tcPr>
          <w:p>
            <w:pPr>
              <w:spacing w:after="0"/>
              <w:rPr>
                <w:sz w:val="18"/>
                <w:szCs w:val="18"/>
                <w:color w:val="auto"/>
              </w:rPr>
            </w:pPr>
          </w:p>
        </w:tc>
        <w:tc>
          <w:tcPr>
            <w:tcW w:w="1220" w:type="dxa"/>
            <w:vAlign w:val="bottom"/>
            <w:tcBorders>
              <w:right w:val="single" w:sz="8" w:color="auto"/>
            </w:tcBorders>
            <w:shd w:val="clear" w:color="auto" w:fill="00529B"/>
          </w:tcPr>
          <w:p>
            <w:pPr>
              <w:jc w:val="right"/>
              <w:ind w:right="292"/>
              <w:spacing w:after="0"/>
              <w:rPr>
                <w:sz w:val="20"/>
                <w:szCs w:val="20"/>
                <w:color w:val="auto"/>
              </w:rPr>
            </w:pPr>
            <w:r>
              <w:rPr>
                <w:rFonts w:ascii="Arial" w:cs="Arial" w:eastAsia="Arial" w:hAnsi="Arial"/>
                <w:sz w:val="18"/>
                <w:szCs w:val="18"/>
                <w:b w:val="1"/>
                <w:bCs w:val="1"/>
                <w:color w:val="FFFFFE"/>
                <w:w w:val="98"/>
              </w:rPr>
              <w:t>Maximum</w:t>
            </w:r>
          </w:p>
        </w:tc>
      </w:tr>
      <w:tr>
        <w:trPr>
          <w:trHeight w:val="216"/>
        </w:trPr>
        <w:tc>
          <w:tcPr>
            <w:tcW w:w="2000" w:type="dxa"/>
            <w:vAlign w:val="bottom"/>
            <w:tcBorders>
              <w:left w:val="single" w:sz="8" w:color="auto"/>
            </w:tcBorders>
            <w:shd w:val="clear" w:color="auto" w:fill="DFE3F1"/>
          </w:tcPr>
          <w:p>
            <w:pPr>
              <w:ind w:left="280"/>
              <w:spacing w:after="0"/>
              <w:rPr>
                <w:sz w:val="20"/>
                <w:szCs w:val="20"/>
                <w:color w:val="auto"/>
              </w:rPr>
            </w:pPr>
            <w:r>
              <w:rPr>
                <w:rFonts w:ascii="Arial" w:cs="Arial" w:eastAsia="Arial" w:hAnsi="Arial"/>
                <w:sz w:val="18"/>
                <w:szCs w:val="18"/>
                <w:b w:val="1"/>
                <w:bCs w:val="1"/>
                <w:color w:val="auto"/>
              </w:rPr>
              <w:t>Kasbar</w:t>
            </w:r>
          </w:p>
        </w:tc>
        <w:tc>
          <w:tcPr>
            <w:tcW w:w="1020" w:type="dxa"/>
            <w:vAlign w:val="bottom"/>
            <w:shd w:val="clear" w:color="auto" w:fill="DFE3F1"/>
          </w:tcPr>
          <w:p>
            <w:pPr>
              <w:ind w:left="180"/>
              <w:spacing w:after="0"/>
              <w:rPr>
                <w:sz w:val="20"/>
                <w:szCs w:val="20"/>
                <w:color w:val="auto"/>
              </w:rPr>
            </w:pPr>
            <w:r>
              <w:rPr>
                <w:rFonts w:ascii="Arial" w:cs="Arial" w:eastAsia="Arial" w:hAnsi="Arial"/>
                <w:sz w:val="18"/>
                <w:szCs w:val="18"/>
                <w:color w:val="auto"/>
              </w:rPr>
              <w:t>Equity   $</w:t>
            </w:r>
          </w:p>
        </w:tc>
        <w:tc>
          <w:tcPr>
            <w:tcW w:w="1040" w:type="dxa"/>
            <w:vAlign w:val="bottom"/>
            <w:shd w:val="clear" w:color="auto" w:fill="DFE3F1"/>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DFE3F1"/>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DFE3F1"/>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shd w:val="clear" w:color="auto" w:fill="DFE3F1"/>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DFE3F1"/>
          </w:tcPr>
          <w:p>
            <w:pPr>
              <w:jc w:val="right"/>
              <w:ind w:right="192"/>
              <w:spacing w:after="0"/>
              <w:rPr>
                <w:sz w:val="20"/>
                <w:szCs w:val="20"/>
                <w:color w:val="auto"/>
              </w:rPr>
            </w:pPr>
            <w:r>
              <w:rPr>
                <w:rFonts w:ascii="Arial" w:cs="Arial" w:eastAsia="Arial" w:hAnsi="Arial"/>
                <w:sz w:val="18"/>
                <w:szCs w:val="18"/>
                <w:color w:val="auto"/>
              </w:rPr>
              <w:t>3,492,500</w:t>
            </w:r>
          </w:p>
        </w:tc>
      </w:tr>
      <w:tr>
        <w:trPr>
          <w:trHeight w:val="216"/>
        </w:trPr>
        <w:tc>
          <w:tcPr>
            <w:tcW w:w="2000" w:type="dxa"/>
            <w:vAlign w:val="bottom"/>
            <w:tcBorders>
              <w:left w:val="single" w:sz="8" w:color="auto"/>
              <w:bottom w:val="single" w:sz="8" w:color="DFE3F1"/>
            </w:tcBorders>
            <w:shd w:val="clear" w:color="auto" w:fill="DFE3F1"/>
          </w:tcPr>
          <w:p>
            <w:pPr>
              <w:spacing w:after="0"/>
              <w:rPr>
                <w:sz w:val="18"/>
                <w:szCs w:val="18"/>
                <w:color w:val="auto"/>
              </w:rPr>
            </w:pPr>
          </w:p>
        </w:tc>
        <w:tc>
          <w:tcPr>
            <w:tcW w:w="1020" w:type="dxa"/>
            <w:vAlign w:val="bottom"/>
            <w:tcBorders>
              <w:bottom w:val="single" w:sz="8" w:color="auto"/>
            </w:tcBorders>
            <w:shd w:val="clear" w:color="auto" w:fill="DFE3F1"/>
          </w:tcPr>
          <w:p>
            <w:pPr>
              <w:ind w:left="180"/>
              <w:spacing w:after="0"/>
              <w:rPr>
                <w:sz w:val="20"/>
                <w:szCs w:val="20"/>
                <w:color w:val="auto"/>
              </w:rPr>
            </w:pPr>
            <w:r>
              <w:rPr>
                <w:rFonts w:ascii="Arial" w:cs="Arial" w:eastAsia="Arial" w:hAnsi="Arial"/>
                <w:sz w:val="18"/>
                <w:szCs w:val="18"/>
                <w:color w:val="auto"/>
              </w:rPr>
              <w:t>Cash</w:t>
            </w:r>
          </w:p>
        </w:tc>
        <w:tc>
          <w:tcPr>
            <w:tcW w:w="10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color w:val="auto"/>
              </w:rPr>
              <w:t>70,000</w:t>
            </w:r>
          </w:p>
        </w:tc>
        <w:tc>
          <w:tcPr>
            <w:tcW w:w="300" w:type="dxa"/>
            <w:vAlign w:val="bottom"/>
            <w:tcBorders>
              <w:bottom w:val="single" w:sz="8" w:color="auto"/>
            </w:tcBorders>
            <w:shd w:val="clear" w:color="auto" w:fill="DFE3F1"/>
          </w:tcPr>
          <w:p>
            <w:pPr>
              <w:spacing w:after="0"/>
              <w:rPr>
                <w:sz w:val="18"/>
                <w:szCs w:val="18"/>
                <w:color w:val="auto"/>
              </w:rPr>
            </w:pP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color w:val="auto"/>
              </w:rPr>
              <w:t>900,000</w:t>
            </w:r>
          </w:p>
        </w:tc>
        <w:tc>
          <w:tcPr>
            <w:tcW w:w="240" w:type="dxa"/>
            <w:vAlign w:val="bottom"/>
            <w:tcBorders>
              <w:bottom w:val="single" w:sz="8" w:color="auto"/>
            </w:tcBorders>
            <w:shd w:val="clear" w:color="auto" w:fill="DFE3F1"/>
          </w:tcPr>
          <w:p>
            <w:pPr>
              <w:spacing w:after="0"/>
              <w:rPr>
                <w:sz w:val="18"/>
                <w:szCs w:val="18"/>
                <w:color w:val="auto"/>
              </w:rPr>
            </w:pPr>
          </w:p>
        </w:tc>
        <w:tc>
          <w:tcPr>
            <w:tcW w:w="1220" w:type="dxa"/>
            <w:vAlign w:val="bottom"/>
            <w:tcBorders>
              <w:bottom w:val="single" w:sz="8" w:color="auto"/>
              <w:right w:val="single" w:sz="8" w:color="auto"/>
            </w:tcBorders>
            <w:shd w:val="clear" w:color="auto" w:fill="DFE3F1"/>
          </w:tcPr>
          <w:p>
            <w:pPr>
              <w:jc w:val="right"/>
              <w:ind w:right="192"/>
              <w:spacing w:after="0"/>
              <w:rPr>
                <w:sz w:val="20"/>
                <w:szCs w:val="20"/>
                <w:color w:val="auto"/>
              </w:rPr>
            </w:pPr>
            <w:r>
              <w:rPr>
                <w:rFonts w:ascii="Arial" w:cs="Arial" w:eastAsia="Arial" w:hAnsi="Arial"/>
                <w:sz w:val="18"/>
                <w:szCs w:val="18"/>
                <w:color w:val="auto"/>
              </w:rPr>
              <w:t>2,857,500</w:t>
            </w:r>
          </w:p>
        </w:tc>
      </w:tr>
      <w:tr>
        <w:trPr>
          <w:trHeight w:val="209"/>
        </w:trPr>
        <w:tc>
          <w:tcPr>
            <w:tcW w:w="2000" w:type="dxa"/>
            <w:vAlign w:val="bottom"/>
            <w:tcBorders>
              <w:left w:val="single" w:sz="8" w:color="auto"/>
              <w:bottom w:val="single" w:sz="8" w:color="auto"/>
            </w:tcBorders>
            <w:shd w:val="clear" w:color="auto" w:fill="DFE3F1"/>
          </w:tcPr>
          <w:p>
            <w:pPr>
              <w:spacing w:after="0"/>
              <w:rPr>
                <w:sz w:val="18"/>
                <w:szCs w:val="18"/>
                <w:color w:val="auto"/>
              </w:rPr>
            </w:pPr>
          </w:p>
        </w:tc>
        <w:tc>
          <w:tcPr>
            <w:tcW w:w="1020" w:type="dxa"/>
            <w:vAlign w:val="bottom"/>
            <w:tcBorders>
              <w:bottom w:val="single" w:sz="8" w:color="auto"/>
            </w:tcBorders>
            <w:shd w:val="clear" w:color="auto" w:fill="DFE3F1"/>
          </w:tcPr>
          <w:p>
            <w:pPr>
              <w:ind w:left="18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b w:val="1"/>
                <w:bCs w:val="1"/>
                <w:color w:val="auto"/>
              </w:rPr>
              <w:t>170,000</w:t>
            </w:r>
          </w:p>
        </w:tc>
        <w:tc>
          <w:tcPr>
            <w:tcW w:w="300" w:type="dxa"/>
            <w:vAlign w:val="bottom"/>
            <w:tcBorders>
              <w:bottom w:val="single" w:sz="8" w:color="auto"/>
            </w:tcBorders>
            <w:shd w:val="clear" w:color="auto" w:fill="DFE3F1"/>
          </w:tcPr>
          <w:p>
            <w:pPr>
              <w:spacing w:after="0"/>
              <w:rPr>
                <w:sz w:val="18"/>
                <w:szCs w:val="18"/>
                <w:color w:val="auto"/>
              </w:rPr>
            </w:pP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b w:val="1"/>
                <w:bCs w:val="1"/>
                <w:color w:val="auto"/>
              </w:rPr>
              <w:t>1,500,000</w:t>
            </w:r>
          </w:p>
        </w:tc>
        <w:tc>
          <w:tcPr>
            <w:tcW w:w="240" w:type="dxa"/>
            <w:vAlign w:val="bottom"/>
            <w:tcBorders>
              <w:bottom w:val="single" w:sz="8" w:color="auto"/>
            </w:tcBorders>
            <w:shd w:val="clear" w:color="auto" w:fill="DFE3F1"/>
          </w:tcPr>
          <w:p>
            <w:pPr>
              <w:spacing w:after="0"/>
              <w:rPr>
                <w:sz w:val="18"/>
                <w:szCs w:val="18"/>
                <w:color w:val="auto"/>
              </w:rPr>
            </w:pPr>
          </w:p>
        </w:tc>
        <w:tc>
          <w:tcPr>
            <w:tcW w:w="1220" w:type="dxa"/>
            <w:vAlign w:val="bottom"/>
            <w:tcBorders>
              <w:bottom w:val="single" w:sz="8" w:color="auto"/>
              <w:right w:val="single" w:sz="8" w:color="auto"/>
            </w:tcBorders>
            <w:shd w:val="clear" w:color="auto" w:fill="DFE3F1"/>
          </w:tcPr>
          <w:p>
            <w:pPr>
              <w:jc w:val="right"/>
              <w:ind w:right="192"/>
              <w:spacing w:after="0"/>
              <w:rPr>
                <w:sz w:val="20"/>
                <w:szCs w:val="20"/>
                <w:color w:val="auto"/>
              </w:rPr>
            </w:pPr>
            <w:r>
              <w:rPr>
                <w:rFonts w:ascii="Arial" w:cs="Arial" w:eastAsia="Arial" w:hAnsi="Arial"/>
                <w:sz w:val="18"/>
                <w:szCs w:val="18"/>
                <w:b w:val="1"/>
                <w:bCs w:val="1"/>
                <w:color w:val="auto"/>
              </w:rPr>
              <w:t>6,350,000</w:t>
            </w:r>
          </w:p>
        </w:tc>
      </w:tr>
      <w:tr>
        <w:trPr>
          <w:trHeight w:val="201"/>
        </w:trPr>
        <w:tc>
          <w:tcPr>
            <w:tcW w:w="2000" w:type="dxa"/>
            <w:vAlign w:val="bottom"/>
            <w:tcBorders>
              <w:left w:val="single" w:sz="8" w:color="auto"/>
            </w:tcBorders>
          </w:tcPr>
          <w:p>
            <w:pPr>
              <w:ind w:left="280"/>
              <w:spacing w:after="0" w:line="201" w:lineRule="exact"/>
              <w:rPr>
                <w:sz w:val="20"/>
                <w:szCs w:val="20"/>
                <w:color w:val="auto"/>
              </w:rPr>
            </w:pPr>
            <w:r>
              <w:rPr>
                <w:rFonts w:ascii="Arial" w:cs="Arial" w:eastAsia="Arial" w:hAnsi="Arial"/>
                <w:sz w:val="18"/>
                <w:szCs w:val="18"/>
                <w:b w:val="1"/>
                <w:bCs w:val="1"/>
                <w:color w:val="auto"/>
              </w:rPr>
              <w:t>Birns</w:t>
            </w:r>
          </w:p>
        </w:tc>
        <w:tc>
          <w:tcPr>
            <w:tcW w:w="1020" w:type="dxa"/>
            <w:vAlign w:val="bottom"/>
          </w:tcPr>
          <w:p>
            <w:pPr>
              <w:ind w:left="180"/>
              <w:spacing w:after="0" w:line="201" w:lineRule="exact"/>
              <w:rPr>
                <w:sz w:val="20"/>
                <w:szCs w:val="20"/>
                <w:color w:val="auto"/>
              </w:rPr>
            </w:pPr>
            <w:r>
              <w:rPr>
                <w:rFonts w:ascii="Arial" w:cs="Arial" w:eastAsia="Arial" w:hAnsi="Arial"/>
                <w:sz w:val="18"/>
                <w:szCs w:val="18"/>
                <w:color w:val="auto"/>
              </w:rPr>
              <w:t>Equity</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50,000</w:t>
            </w:r>
          </w:p>
        </w:tc>
        <w:tc>
          <w:tcPr>
            <w:tcW w:w="3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240,000</w:t>
            </w:r>
          </w:p>
        </w:tc>
        <w:tc>
          <w:tcPr>
            <w:tcW w:w="240" w:type="dxa"/>
            <w:vAlign w:val="bottom"/>
          </w:tcPr>
          <w:p>
            <w:pPr>
              <w:spacing w:after="0"/>
              <w:rPr>
                <w:sz w:val="17"/>
                <w:szCs w:val="17"/>
                <w:color w:val="auto"/>
              </w:rPr>
            </w:pPr>
          </w:p>
        </w:tc>
        <w:tc>
          <w:tcPr>
            <w:tcW w:w="1220" w:type="dxa"/>
            <w:vAlign w:val="bottom"/>
            <w:tcBorders>
              <w:right w:val="single" w:sz="8" w:color="auto"/>
            </w:tcBorders>
          </w:tcPr>
          <w:p>
            <w:pPr>
              <w:jc w:val="right"/>
              <w:ind w:right="192"/>
              <w:spacing w:after="0" w:line="201" w:lineRule="exact"/>
              <w:rPr>
                <w:sz w:val="20"/>
                <w:szCs w:val="20"/>
                <w:color w:val="auto"/>
              </w:rPr>
            </w:pPr>
            <w:r>
              <w:rPr>
                <w:rFonts w:ascii="Arial" w:cs="Arial" w:eastAsia="Arial" w:hAnsi="Arial"/>
                <w:sz w:val="18"/>
                <w:szCs w:val="18"/>
                <w:color w:val="auto"/>
              </w:rPr>
              <w:t>1,430,000</w:t>
            </w:r>
          </w:p>
        </w:tc>
      </w:tr>
      <w:tr>
        <w:trPr>
          <w:trHeight w:val="223"/>
        </w:trPr>
        <w:tc>
          <w:tcPr>
            <w:tcW w:w="2000" w:type="dxa"/>
            <w:vAlign w:val="bottom"/>
            <w:tcBorders>
              <w:left w:val="single" w:sz="8" w:color="auto"/>
            </w:tcBorders>
          </w:tcPr>
          <w:p>
            <w:pPr>
              <w:spacing w:after="0"/>
              <w:rPr>
                <w:sz w:val="19"/>
                <w:szCs w:val="19"/>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Cash</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360,000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1,170,000</w:t>
            </w:r>
          </w:p>
        </w:tc>
      </w:tr>
      <w:tr>
        <w:trPr>
          <w:trHeight w:val="211"/>
        </w:trPr>
        <w:tc>
          <w:tcPr>
            <w:tcW w:w="200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90,000</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600,000</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2,600,000</w:t>
            </w:r>
          </w:p>
        </w:tc>
      </w:tr>
      <w:tr>
        <w:trPr>
          <w:trHeight w:val="209"/>
        </w:trPr>
        <w:tc>
          <w:tcPr>
            <w:tcW w:w="2000" w:type="dxa"/>
            <w:vAlign w:val="bottom"/>
            <w:tcBorders>
              <w:left w:val="single" w:sz="8" w:color="auto"/>
            </w:tcBorders>
            <w:shd w:val="clear" w:color="auto" w:fill="DFE3F1"/>
          </w:tcPr>
          <w:p>
            <w:pPr>
              <w:ind w:left="280"/>
              <w:spacing w:after="0"/>
              <w:rPr>
                <w:sz w:val="20"/>
                <w:szCs w:val="20"/>
                <w:color w:val="auto"/>
              </w:rPr>
            </w:pPr>
            <w:r>
              <w:rPr>
                <w:rFonts w:ascii="Arial" w:cs="Arial" w:eastAsia="Arial" w:hAnsi="Arial"/>
                <w:sz w:val="18"/>
                <w:szCs w:val="18"/>
                <w:b w:val="1"/>
                <w:bCs w:val="1"/>
                <w:color w:val="auto"/>
              </w:rPr>
              <w:t>Smith</w:t>
            </w:r>
          </w:p>
        </w:tc>
        <w:tc>
          <w:tcPr>
            <w:tcW w:w="1020" w:type="dxa"/>
            <w:vAlign w:val="bottom"/>
            <w:shd w:val="clear" w:color="auto" w:fill="DFE3F1"/>
          </w:tcPr>
          <w:p>
            <w:pPr>
              <w:ind w:left="180"/>
              <w:spacing w:after="0"/>
              <w:rPr>
                <w:sz w:val="20"/>
                <w:szCs w:val="20"/>
                <w:color w:val="auto"/>
              </w:rPr>
            </w:pPr>
            <w:r>
              <w:rPr>
                <w:rFonts w:ascii="Arial" w:cs="Arial" w:eastAsia="Arial" w:hAnsi="Arial"/>
                <w:sz w:val="18"/>
                <w:szCs w:val="18"/>
                <w:color w:val="auto"/>
              </w:rPr>
              <w:t>Equity</w:t>
            </w:r>
          </w:p>
        </w:tc>
        <w:tc>
          <w:tcPr>
            <w:tcW w:w="1040" w:type="dxa"/>
            <w:vAlign w:val="bottom"/>
            <w:shd w:val="clear" w:color="auto" w:fill="DFE3F1"/>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DFE3F1"/>
          </w:tcPr>
          <w:p>
            <w:pPr>
              <w:spacing w:after="0"/>
              <w:rPr>
                <w:sz w:val="18"/>
                <w:szCs w:val="18"/>
                <w:color w:val="auto"/>
              </w:rPr>
            </w:pPr>
          </w:p>
        </w:tc>
        <w:tc>
          <w:tcPr>
            <w:tcW w:w="940" w:type="dxa"/>
            <w:vAlign w:val="bottom"/>
            <w:shd w:val="clear" w:color="auto" w:fill="DFE3F1"/>
          </w:tcPr>
          <w:p>
            <w:pPr>
              <w:jc w:val="right"/>
              <w:spacing w:after="0"/>
              <w:rPr>
                <w:sz w:val="20"/>
                <w:szCs w:val="20"/>
                <w:color w:val="auto"/>
              </w:rPr>
            </w:pPr>
            <w:r>
              <w:rPr>
                <w:rFonts w:ascii="Arial" w:cs="Arial" w:eastAsia="Arial" w:hAnsi="Arial"/>
                <w:sz w:val="18"/>
                <w:szCs w:val="18"/>
                <w:color w:val="auto"/>
              </w:rPr>
              <w:t>240,000</w:t>
            </w:r>
          </w:p>
        </w:tc>
        <w:tc>
          <w:tcPr>
            <w:tcW w:w="240" w:type="dxa"/>
            <w:vAlign w:val="bottom"/>
            <w:shd w:val="clear" w:color="auto" w:fill="DFE3F1"/>
          </w:tcPr>
          <w:p>
            <w:pPr>
              <w:spacing w:after="0"/>
              <w:rPr>
                <w:sz w:val="18"/>
                <w:szCs w:val="18"/>
                <w:color w:val="auto"/>
              </w:rPr>
            </w:pPr>
          </w:p>
        </w:tc>
        <w:tc>
          <w:tcPr>
            <w:tcW w:w="1220" w:type="dxa"/>
            <w:vAlign w:val="bottom"/>
            <w:tcBorders>
              <w:right w:val="single" w:sz="8" w:color="auto"/>
            </w:tcBorders>
            <w:shd w:val="clear" w:color="auto" w:fill="DFE3F1"/>
          </w:tcPr>
          <w:p>
            <w:pPr>
              <w:jc w:val="right"/>
              <w:ind w:right="192"/>
              <w:spacing w:after="0"/>
              <w:rPr>
                <w:sz w:val="20"/>
                <w:szCs w:val="20"/>
                <w:color w:val="auto"/>
              </w:rPr>
            </w:pPr>
            <w:r>
              <w:rPr>
                <w:rFonts w:ascii="Arial" w:cs="Arial" w:eastAsia="Arial" w:hAnsi="Arial"/>
                <w:sz w:val="18"/>
                <w:szCs w:val="18"/>
                <w:color w:val="auto"/>
              </w:rPr>
              <w:t>1,430,000</w:t>
            </w:r>
          </w:p>
        </w:tc>
      </w:tr>
      <w:tr>
        <w:trPr>
          <w:trHeight w:val="216"/>
        </w:trPr>
        <w:tc>
          <w:tcPr>
            <w:tcW w:w="2000" w:type="dxa"/>
            <w:vAlign w:val="bottom"/>
            <w:tcBorders>
              <w:left w:val="single" w:sz="8" w:color="auto"/>
              <w:bottom w:val="single" w:sz="8" w:color="DFE3F1"/>
            </w:tcBorders>
            <w:shd w:val="clear" w:color="auto" w:fill="DFE3F1"/>
          </w:tcPr>
          <w:p>
            <w:pPr>
              <w:spacing w:after="0"/>
              <w:rPr>
                <w:sz w:val="18"/>
                <w:szCs w:val="18"/>
                <w:color w:val="auto"/>
              </w:rPr>
            </w:pPr>
          </w:p>
        </w:tc>
        <w:tc>
          <w:tcPr>
            <w:tcW w:w="1020" w:type="dxa"/>
            <w:vAlign w:val="bottom"/>
            <w:tcBorders>
              <w:bottom w:val="single" w:sz="8" w:color="auto"/>
            </w:tcBorders>
            <w:shd w:val="clear" w:color="auto" w:fill="DFE3F1"/>
          </w:tcPr>
          <w:p>
            <w:pPr>
              <w:ind w:left="180"/>
              <w:spacing w:after="0"/>
              <w:rPr>
                <w:sz w:val="20"/>
                <w:szCs w:val="20"/>
                <w:color w:val="auto"/>
              </w:rPr>
            </w:pPr>
            <w:r>
              <w:rPr>
                <w:rFonts w:ascii="Arial" w:cs="Arial" w:eastAsia="Arial" w:hAnsi="Arial"/>
                <w:sz w:val="18"/>
                <w:szCs w:val="18"/>
                <w:color w:val="auto"/>
              </w:rPr>
              <w:t>Cash</w:t>
            </w:r>
          </w:p>
        </w:tc>
        <w:tc>
          <w:tcPr>
            <w:tcW w:w="10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Borders>
              <w:bottom w:val="single" w:sz="8" w:color="auto"/>
            </w:tcBorders>
            <w:shd w:val="clear" w:color="auto" w:fill="DFE3F1"/>
          </w:tcPr>
          <w:p>
            <w:pPr>
              <w:spacing w:after="0"/>
              <w:rPr>
                <w:sz w:val="18"/>
                <w:szCs w:val="18"/>
                <w:color w:val="auto"/>
              </w:rPr>
            </w:pP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color w:val="auto"/>
              </w:rPr>
              <w:t>360,000</w:t>
            </w:r>
          </w:p>
        </w:tc>
        <w:tc>
          <w:tcPr>
            <w:tcW w:w="240" w:type="dxa"/>
            <w:vAlign w:val="bottom"/>
            <w:tcBorders>
              <w:bottom w:val="single" w:sz="8" w:color="auto"/>
            </w:tcBorders>
            <w:shd w:val="clear" w:color="auto" w:fill="DFE3F1"/>
          </w:tcPr>
          <w:p>
            <w:pPr>
              <w:spacing w:after="0"/>
              <w:rPr>
                <w:sz w:val="18"/>
                <w:szCs w:val="18"/>
                <w:color w:val="auto"/>
              </w:rPr>
            </w:pPr>
          </w:p>
        </w:tc>
        <w:tc>
          <w:tcPr>
            <w:tcW w:w="1220" w:type="dxa"/>
            <w:vAlign w:val="bottom"/>
            <w:tcBorders>
              <w:bottom w:val="single" w:sz="8" w:color="auto"/>
              <w:right w:val="single" w:sz="8" w:color="auto"/>
            </w:tcBorders>
            <w:shd w:val="clear" w:color="auto" w:fill="DFE3F1"/>
          </w:tcPr>
          <w:p>
            <w:pPr>
              <w:jc w:val="right"/>
              <w:ind w:right="192"/>
              <w:spacing w:after="0"/>
              <w:rPr>
                <w:sz w:val="20"/>
                <w:szCs w:val="20"/>
                <w:color w:val="auto"/>
              </w:rPr>
            </w:pPr>
            <w:r>
              <w:rPr>
                <w:rFonts w:ascii="Arial" w:cs="Arial" w:eastAsia="Arial" w:hAnsi="Arial"/>
                <w:sz w:val="18"/>
                <w:szCs w:val="18"/>
                <w:color w:val="auto"/>
              </w:rPr>
              <w:t>1,170,000</w:t>
            </w:r>
          </w:p>
        </w:tc>
      </w:tr>
      <w:tr>
        <w:trPr>
          <w:trHeight w:val="210"/>
        </w:trPr>
        <w:tc>
          <w:tcPr>
            <w:tcW w:w="2000" w:type="dxa"/>
            <w:vAlign w:val="bottom"/>
            <w:tcBorders>
              <w:left w:val="single" w:sz="8" w:color="auto"/>
              <w:bottom w:val="single" w:sz="8" w:color="auto"/>
            </w:tcBorders>
            <w:shd w:val="clear" w:color="auto" w:fill="DFE3F1"/>
          </w:tcPr>
          <w:p>
            <w:pPr>
              <w:spacing w:after="0"/>
              <w:rPr>
                <w:sz w:val="18"/>
                <w:szCs w:val="18"/>
                <w:color w:val="auto"/>
              </w:rPr>
            </w:pPr>
          </w:p>
        </w:tc>
        <w:tc>
          <w:tcPr>
            <w:tcW w:w="1020" w:type="dxa"/>
            <w:vAlign w:val="bottom"/>
            <w:tcBorders>
              <w:bottom w:val="single" w:sz="8" w:color="auto"/>
            </w:tcBorders>
            <w:shd w:val="clear" w:color="auto" w:fill="DFE3F1"/>
          </w:tcPr>
          <w:p>
            <w:pPr>
              <w:ind w:left="18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b w:val="1"/>
                <w:bCs w:val="1"/>
                <w:color w:val="auto"/>
              </w:rPr>
              <w:t>90,000</w:t>
            </w:r>
          </w:p>
        </w:tc>
        <w:tc>
          <w:tcPr>
            <w:tcW w:w="300" w:type="dxa"/>
            <w:vAlign w:val="bottom"/>
            <w:tcBorders>
              <w:bottom w:val="single" w:sz="8" w:color="auto"/>
            </w:tcBorders>
            <w:shd w:val="clear" w:color="auto" w:fill="DFE3F1"/>
          </w:tcPr>
          <w:p>
            <w:pPr>
              <w:spacing w:after="0"/>
              <w:rPr>
                <w:sz w:val="18"/>
                <w:szCs w:val="18"/>
                <w:color w:val="auto"/>
              </w:rPr>
            </w:pP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b w:val="1"/>
                <w:bCs w:val="1"/>
                <w:color w:val="auto"/>
              </w:rPr>
              <w:t>600,000</w:t>
            </w:r>
          </w:p>
        </w:tc>
        <w:tc>
          <w:tcPr>
            <w:tcW w:w="240" w:type="dxa"/>
            <w:vAlign w:val="bottom"/>
            <w:tcBorders>
              <w:bottom w:val="single" w:sz="8" w:color="auto"/>
            </w:tcBorders>
            <w:shd w:val="clear" w:color="auto" w:fill="DFE3F1"/>
          </w:tcPr>
          <w:p>
            <w:pPr>
              <w:spacing w:after="0"/>
              <w:rPr>
                <w:sz w:val="18"/>
                <w:szCs w:val="18"/>
                <w:color w:val="auto"/>
              </w:rPr>
            </w:pPr>
          </w:p>
        </w:tc>
        <w:tc>
          <w:tcPr>
            <w:tcW w:w="1220" w:type="dxa"/>
            <w:vAlign w:val="bottom"/>
            <w:tcBorders>
              <w:bottom w:val="single" w:sz="8" w:color="auto"/>
              <w:right w:val="single" w:sz="8" w:color="auto"/>
            </w:tcBorders>
            <w:shd w:val="clear" w:color="auto" w:fill="DFE3F1"/>
          </w:tcPr>
          <w:p>
            <w:pPr>
              <w:jc w:val="right"/>
              <w:ind w:right="192"/>
              <w:spacing w:after="0"/>
              <w:rPr>
                <w:sz w:val="20"/>
                <w:szCs w:val="20"/>
                <w:color w:val="auto"/>
              </w:rPr>
            </w:pPr>
            <w:r>
              <w:rPr>
                <w:rFonts w:ascii="Arial" w:cs="Arial" w:eastAsia="Arial" w:hAnsi="Arial"/>
                <w:sz w:val="18"/>
                <w:szCs w:val="18"/>
                <w:b w:val="1"/>
                <w:bCs w:val="1"/>
                <w:color w:val="auto"/>
              </w:rPr>
              <w:t>2,600,000</w:t>
            </w:r>
          </w:p>
        </w:tc>
      </w:tr>
      <w:tr>
        <w:trPr>
          <w:trHeight w:val="201"/>
        </w:trPr>
        <w:tc>
          <w:tcPr>
            <w:tcW w:w="2000" w:type="dxa"/>
            <w:vAlign w:val="bottom"/>
            <w:tcBorders>
              <w:left w:val="single" w:sz="8" w:color="auto"/>
            </w:tcBorders>
          </w:tcPr>
          <w:p>
            <w:pPr>
              <w:ind w:left="280"/>
              <w:spacing w:after="0" w:line="201" w:lineRule="exact"/>
              <w:rPr>
                <w:sz w:val="20"/>
                <w:szCs w:val="20"/>
                <w:color w:val="auto"/>
              </w:rPr>
            </w:pPr>
            <w:r>
              <w:rPr>
                <w:rFonts w:ascii="Arial" w:cs="Arial" w:eastAsia="Arial" w:hAnsi="Arial"/>
                <w:sz w:val="18"/>
                <w:szCs w:val="18"/>
                <w:b w:val="1"/>
                <w:bCs w:val="1"/>
                <w:color w:val="auto"/>
              </w:rPr>
              <w:t>Crosby</w:t>
            </w:r>
          </w:p>
        </w:tc>
        <w:tc>
          <w:tcPr>
            <w:tcW w:w="1020" w:type="dxa"/>
            <w:vAlign w:val="bottom"/>
          </w:tcPr>
          <w:p>
            <w:pPr>
              <w:ind w:left="180"/>
              <w:spacing w:after="0" w:line="201" w:lineRule="exact"/>
              <w:rPr>
                <w:sz w:val="20"/>
                <w:szCs w:val="20"/>
                <w:color w:val="auto"/>
              </w:rPr>
            </w:pPr>
            <w:r>
              <w:rPr>
                <w:rFonts w:ascii="Arial" w:cs="Arial" w:eastAsia="Arial" w:hAnsi="Arial"/>
                <w:sz w:val="18"/>
                <w:szCs w:val="18"/>
                <w:color w:val="auto"/>
              </w:rPr>
              <w:t>Equity</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50,000</w:t>
            </w:r>
          </w:p>
        </w:tc>
        <w:tc>
          <w:tcPr>
            <w:tcW w:w="3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7"/>
                <w:szCs w:val="17"/>
                <w:color w:val="auto"/>
              </w:rPr>
            </w:pPr>
          </w:p>
        </w:tc>
        <w:tc>
          <w:tcPr>
            <w:tcW w:w="1220" w:type="dxa"/>
            <w:vAlign w:val="bottom"/>
            <w:tcBorders>
              <w:right w:val="single" w:sz="8" w:color="auto"/>
            </w:tcBorders>
          </w:tcPr>
          <w:p>
            <w:pPr>
              <w:jc w:val="right"/>
              <w:ind w:right="192"/>
              <w:spacing w:after="0" w:line="201" w:lineRule="exact"/>
              <w:rPr>
                <w:sz w:val="20"/>
                <w:szCs w:val="20"/>
                <w:color w:val="auto"/>
              </w:rPr>
            </w:pPr>
            <w:r>
              <w:rPr>
                <w:rFonts w:ascii="Arial" w:cs="Arial" w:eastAsia="Arial" w:hAnsi="Arial"/>
                <w:sz w:val="18"/>
                <w:szCs w:val="18"/>
                <w:color w:val="auto"/>
              </w:rPr>
              <w:t>965,000</w:t>
            </w:r>
          </w:p>
        </w:tc>
      </w:tr>
      <w:tr>
        <w:trPr>
          <w:trHeight w:val="223"/>
        </w:trPr>
        <w:tc>
          <w:tcPr>
            <w:tcW w:w="2000" w:type="dxa"/>
            <w:vAlign w:val="bottom"/>
            <w:tcBorders>
              <w:left w:val="single" w:sz="8" w:color="auto"/>
            </w:tcBorders>
          </w:tcPr>
          <w:p>
            <w:pPr>
              <w:spacing w:after="0"/>
              <w:rPr>
                <w:sz w:val="19"/>
                <w:szCs w:val="19"/>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Cash</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785,000</w:t>
            </w:r>
          </w:p>
        </w:tc>
      </w:tr>
      <w:tr>
        <w:trPr>
          <w:trHeight w:val="211"/>
        </w:trPr>
        <w:tc>
          <w:tcPr>
            <w:tcW w:w="200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150,000</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1,750,000</w:t>
            </w:r>
          </w:p>
        </w:tc>
      </w:tr>
      <w:tr>
        <w:trPr>
          <w:trHeight w:val="209"/>
        </w:trPr>
        <w:tc>
          <w:tcPr>
            <w:tcW w:w="2000" w:type="dxa"/>
            <w:vAlign w:val="bottom"/>
            <w:tcBorders>
              <w:left w:val="single" w:sz="8" w:color="auto"/>
            </w:tcBorders>
            <w:shd w:val="clear" w:color="auto" w:fill="DFE3F1"/>
          </w:tcPr>
          <w:p>
            <w:pPr>
              <w:ind w:left="280"/>
              <w:spacing w:after="0"/>
              <w:rPr>
                <w:sz w:val="20"/>
                <w:szCs w:val="20"/>
                <w:color w:val="auto"/>
              </w:rPr>
            </w:pPr>
            <w:r>
              <w:rPr>
                <w:rFonts w:ascii="Arial" w:cs="Arial" w:eastAsia="Arial" w:hAnsi="Arial"/>
                <w:sz w:val="18"/>
                <w:szCs w:val="18"/>
                <w:b w:val="1"/>
                <w:bCs w:val="1"/>
                <w:color w:val="auto"/>
              </w:rPr>
              <w:t>Rau</w:t>
            </w:r>
          </w:p>
        </w:tc>
        <w:tc>
          <w:tcPr>
            <w:tcW w:w="1020" w:type="dxa"/>
            <w:vAlign w:val="bottom"/>
            <w:shd w:val="clear" w:color="auto" w:fill="DFE3F1"/>
          </w:tcPr>
          <w:p>
            <w:pPr>
              <w:ind w:left="180"/>
              <w:spacing w:after="0"/>
              <w:rPr>
                <w:sz w:val="20"/>
                <w:szCs w:val="20"/>
                <w:color w:val="auto"/>
              </w:rPr>
            </w:pPr>
            <w:r>
              <w:rPr>
                <w:rFonts w:ascii="Arial" w:cs="Arial" w:eastAsia="Arial" w:hAnsi="Arial"/>
                <w:sz w:val="18"/>
                <w:szCs w:val="18"/>
                <w:color w:val="auto"/>
              </w:rPr>
              <w:t>Equity</w:t>
            </w:r>
          </w:p>
        </w:tc>
        <w:tc>
          <w:tcPr>
            <w:tcW w:w="1040" w:type="dxa"/>
            <w:vAlign w:val="bottom"/>
            <w:shd w:val="clear" w:color="auto" w:fill="DFE3F1"/>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DFE3F1"/>
          </w:tcPr>
          <w:p>
            <w:pPr>
              <w:spacing w:after="0"/>
              <w:rPr>
                <w:sz w:val="18"/>
                <w:szCs w:val="18"/>
                <w:color w:val="auto"/>
              </w:rPr>
            </w:pPr>
          </w:p>
        </w:tc>
        <w:tc>
          <w:tcPr>
            <w:tcW w:w="940" w:type="dxa"/>
            <w:vAlign w:val="bottom"/>
            <w:shd w:val="clear" w:color="auto" w:fill="DFE3F1"/>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shd w:val="clear" w:color="auto" w:fill="DFE3F1"/>
          </w:tcPr>
          <w:p>
            <w:pPr>
              <w:spacing w:after="0"/>
              <w:rPr>
                <w:sz w:val="18"/>
                <w:szCs w:val="18"/>
                <w:color w:val="auto"/>
              </w:rPr>
            </w:pPr>
          </w:p>
        </w:tc>
        <w:tc>
          <w:tcPr>
            <w:tcW w:w="1220" w:type="dxa"/>
            <w:vAlign w:val="bottom"/>
            <w:tcBorders>
              <w:right w:val="single" w:sz="8" w:color="auto"/>
            </w:tcBorders>
            <w:shd w:val="clear" w:color="auto" w:fill="DFE3F1"/>
          </w:tcPr>
          <w:p>
            <w:pPr>
              <w:jc w:val="right"/>
              <w:ind w:right="192"/>
              <w:spacing w:after="0"/>
              <w:rPr>
                <w:sz w:val="20"/>
                <w:szCs w:val="20"/>
                <w:color w:val="auto"/>
              </w:rPr>
            </w:pPr>
            <w:r>
              <w:rPr>
                <w:rFonts w:ascii="Arial" w:cs="Arial" w:eastAsia="Arial" w:hAnsi="Arial"/>
                <w:sz w:val="18"/>
                <w:szCs w:val="18"/>
                <w:color w:val="auto"/>
              </w:rPr>
              <w:t>965,000</w:t>
            </w:r>
          </w:p>
        </w:tc>
      </w:tr>
      <w:tr>
        <w:trPr>
          <w:trHeight w:val="216"/>
        </w:trPr>
        <w:tc>
          <w:tcPr>
            <w:tcW w:w="2000" w:type="dxa"/>
            <w:vAlign w:val="bottom"/>
            <w:tcBorders>
              <w:left w:val="single" w:sz="8" w:color="auto"/>
              <w:bottom w:val="single" w:sz="8" w:color="DFE3F1"/>
            </w:tcBorders>
            <w:shd w:val="clear" w:color="auto" w:fill="DFE3F1"/>
          </w:tcPr>
          <w:p>
            <w:pPr>
              <w:spacing w:after="0"/>
              <w:rPr>
                <w:sz w:val="18"/>
                <w:szCs w:val="18"/>
                <w:color w:val="auto"/>
              </w:rPr>
            </w:pPr>
          </w:p>
        </w:tc>
        <w:tc>
          <w:tcPr>
            <w:tcW w:w="1020" w:type="dxa"/>
            <w:vAlign w:val="bottom"/>
            <w:tcBorders>
              <w:bottom w:val="single" w:sz="8" w:color="auto"/>
            </w:tcBorders>
            <w:shd w:val="clear" w:color="auto" w:fill="DFE3F1"/>
          </w:tcPr>
          <w:p>
            <w:pPr>
              <w:ind w:left="180"/>
              <w:spacing w:after="0"/>
              <w:rPr>
                <w:sz w:val="20"/>
                <w:szCs w:val="20"/>
                <w:color w:val="auto"/>
              </w:rPr>
            </w:pPr>
            <w:r>
              <w:rPr>
                <w:rFonts w:ascii="Arial" w:cs="Arial" w:eastAsia="Arial" w:hAnsi="Arial"/>
                <w:sz w:val="18"/>
                <w:szCs w:val="18"/>
                <w:color w:val="auto"/>
              </w:rPr>
              <w:t>Cash</w:t>
            </w:r>
          </w:p>
        </w:tc>
        <w:tc>
          <w:tcPr>
            <w:tcW w:w="10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Borders>
              <w:bottom w:val="single" w:sz="8" w:color="auto"/>
            </w:tcBorders>
            <w:shd w:val="clear" w:color="auto" w:fill="DFE3F1"/>
          </w:tcPr>
          <w:p>
            <w:pPr>
              <w:spacing w:after="0"/>
              <w:rPr>
                <w:sz w:val="18"/>
                <w:szCs w:val="18"/>
                <w:color w:val="auto"/>
              </w:rPr>
            </w:pP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Borders>
              <w:bottom w:val="single" w:sz="8" w:color="auto"/>
            </w:tcBorders>
            <w:shd w:val="clear" w:color="auto" w:fill="DFE3F1"/>
          </w:tcPr>
          <w:p>
            <w:pPr>
              <w:spacing w:after="0"/>
              <w:rPr>
                <w:sz w:val="18"/>
                <w:szCs w:val="18"/>
                <w:color w:val="auto"/>
              </w:rPr>
            </w:pPr>
          </w:p>
        </w:tc>
        <w:tc>
          <w:tcPr>
            <w:tcW w:w="1220" w:type="dxa"/>
            <w:vAlign w:val="bottom"/>
            <w:tcBorders>
              <w:bottom w:val="single" w:sz="8" w:color="auto"/>
              <w:right w:val="single" w:sz="8" w:color="auto"/>
            </w:tcBorders>
            <w:shd w:val="clear" w:color="auto" w:fill="DFE3F1"/>
          </w:tcPr>
          <w:p>
            <w:pPr>
              <w:jc w:val="right"/>
              <w:ind w:right="192"/>
              <w:spacing w:after="0"/>
              <w:rPr>
                <w:sz w:val="20"/>
                <w:szCs w:val="20"/>
                <w:color w:val="auto"/>
              </w:rPr>
            </w:pPr>
            <w:r>
              <w:rPr>
                <w:rFonts w:ascii="Arial" w:cs="Arial" w:eastAsia="Arial" w:hAnsi="Arial"/>
                <w:sz w:val="18"/>
                <w:szCs w:val="18"/>
                <w:color w:val="auto"/>
              </w:rPr>
              <w:t>785,000</w:t>
            </w:r>
          </w:p>
        </w:tc>
      </w:tr>
      <w:tr>
        <w:trPr>
          <w:trHeight w:val="230"/>
        </w:trPr>
        <w:tc>
          <w:tcPr>
            <w:tcW w:w="2000" w:type="dxa"/>
            <w:vAlign w:val="bottom"/>
            <w:tcBorders>
              <w:left w:val="single" w:sz="8" w:color="auto"/>
              <w:bottom w:val="single" w:sz="8" w:color="0048E0"/>
            </w:tcBorders>
            <w:shd w:val="clear" w:color="auto" w:fill="DFE3F1"/>
          </w:tcPr>
          <w:p>
            <w:pPr>
              <w:spacing w:after="0"/>
              <w:rPr>
                <w:sz w:val="20"/>
                <w:szCs w:val="20"/>
                <w:color w:val="auto"/>
              </w:rPr>
            </w:pPr>
          </w:p>
        </w:tc>
        <w:tc>
          <w:tcPr>
            <w:tcW w:w="1020" w:type="dxa"/>
            <w:vAlign w:val="bottom"/>
            <w:tcBorders>
              <w:bottom w:val="single" w:sz="8" w:color="0048E0"/>
            </w:tcBorders>
            <w:shd w:val="clear" w:color="auto" w:fill="DFE3F1"/>
          </w:tcPr>
          <w:p>
            <w:pPr>
              <w:ind w:left="18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0048E0"/>
            </w:tcBorders>
            <w:shd w:val="clear" w:color="auto" w:fill="DFE3F1"/>
          </w:tcPr>
          <w:p>
            <w:pPr>
              <w:jc w:val="right"/>
              <w:spacing w:after="0"/>
              <w:rPr>
                <w:sz w:val="20"/>
                <w:szCs w:val="20"/>
                <w:color w:val="auto"/>
              </w:rPr>
            </w:pPr>
            <w:r>
              <w:rPr>
                <w:rFonts w:ascii="Arial" w:cs="Arial" w:eastAsia="Arial" w:hAnsi="Arial"/>
                <w:sz w:val="18"/>
                <w:szCs w:val="18"/>
                <w:b w:val="1"/>
                <w:bCs w:val="1"/>
                <w:color w:val="auto"/>
              </w:rPr>
              <w:t>150,000</w:t>
            </w:r>
          </w:p>
        </w:tc>
        <w:tc>
          <w:tcPr>
            <w:tcW w:w="300" w:type="dxa"/>
            <w:vAlign w:val="bottom"/>
            <w:tcBorders>
              <w:bottom w:val="single" w:sz="8" w:color="0048E0"/>
            </w:tcBorders>
            <w:shd w:val="clear" w:color="auto" w:fill="DFE3F1"/>
          </w:tcPr>
          <w:p>
            <w:pPr>
              <w:spacing w:after="0"/>
              <w:rPr>
                <w:sz w:val="20"/>
                <w:szCs w:val="20"/>
                <w:color w:val="auto"/>
              </w:rPr>
            </w:pPr>
          </w:p>
        </w:tc>
        <w:tc>
          <w:tcPr>
            <w:tcW w:w="940" w:type="dxa"/>
            <w:vAlign w:val="bottom"/>
            <w:tcBorders>
              <w:bottom w:val="single" w:sz="8" w:color="0048E0"/>
            </w:tcBorders>
            <w:shd w:val="clear" w:color="auto" w:fill="DFE3F1"/>
          </w:tcPr>
          <w:p>
            <w:pPr>
              <w:jc w:val="right"/>
              <w:spacing w:after="0"/>
              <w:rPr>
                <w:sz w:val="20"/>
                <w:szCs w:val="20"/>
                <w:color w:val="auto"/>
              </w:rPr>
            </w:pPr>
            <w:r>
              <w:rPr>
                <w:rFonts w:ascii="Arial" w:cs="Arial" w:eastAsia="Arial" w:hAnsi="Arial"/>
                <w:sz w:val="18"/>
                <w:szCs w:val="18"/>
                <w:b w:val="1"/>
                <w:bCs w:val="1"/>
                <w:color w:val="auto"/>
              </w:rPr>
              <w:t>500,000</w:t>
            </w:r>
          </w:p>
        </w:tc>
        <w:tc>
          <w:tcPr>
            <w:tcW w:w="240" w:type="dxa"/>
            <w:vAlign w:val="bottom"/>
            <w:tcBorders>
              <w:bottom w:val="single" w:sz="8" w:color="0048E0"/>
            </w:tcBorders>
            <w:shd w:val="clear" w:color="auto" w:fill="DFE3F1"/>
          </w:tcPr>
          <w:p>
            <w:pPr>
              <w:spacing w:after="0"/>
              <w:rPr>
                <w:sz w:val="20"/>
                <w:szCs w:val="20"/>
                <w:color w:val="auto"/>
              </w:rPr>
            </w:pPr>
          </w:p>
        </w:tc>
        <w:tc>
          <w:tcPr>
            <w:tcW w:w="1220" w:type="dxa"/>
            <w:vAlign w:val="bottom"/>
            <w:tcBorders>
              <w:bottom w:val="single" w:sz="8" w:color="0048E0"/>
              <w:right w:val="single" w:sz="8" w:color="auto"/>
            </w:tcBorders>
            <w:shd w:val="clear" w:color="auto" w:fill="DFE3F1"/>
          </w:tcPr>
          <w:p>
            <w:pPr>
              <w:jc w:val="right"/>
              <w:ind w:right="192"/>
              <w:spacing w:after="0"/>
              <w:rPr>
                <w:sz w:val="20"/>
                <w:szCs w:val="20"/>
                <w:color w:val="auto"/>
              </w:rPr>
            </w:pPr>
            <w:r>
              <w:rPr>
                <w:rFonts w:ascii="Arial" w:cs="Arial" w:eastAsia="Arial" w:hAnsi="Arial"/>
                <w:sz w:val="18"/>
                <w:szCs w:val="18"/>
                <w:b w:val="1"/>
                <w:bCs w:val="1"/>
                <w:color w:val="auto"/>
              </w:rPr>
              <w:t>1,750,000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-1885315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-1456690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-1028065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-599440</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-170815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Committee then determined the performance levels of EBITDA at which the performance-related incentive awards could be earned by our NEOs, beginning with our income from operations calculated in accordance with generally accepted accounting principles, or GAAP, excluding depreciation, amortization and adjusting for non-operational items to the extent deemed appropriate by the Committee. The following EBITDA performance levels for 2019 were based on growth over the previous year and our internal budgets, with the threshold, target and maximum performance levels representing significant growth over the previous year.</w:t>
      </w:r>
    </w:p>
    <w:p>
      <w:pPr>
        <w:spacing w:after="0" w:line="204" w:lineRule="exact"/>
        <w:rPr>
          <w:sz w:val="20"/>
          <w:szCs w:val="20"/>
          <w:color w:val="auto"/>
        </w:rPr>
      </w:pPr>
    </w:p>
    <w:tbl>
      <w:tblPr>
        <w:tblLayout w:type="fixed"/>
        <w:tblInd w:w="2250" w:type="dxa"/>
        <w:tblCellMar>
          <w:top w:w="0" w:type="dxa"/>
          <w:left w:w="0" w:type="dxa"/>
          <w:bottom w:w="0" w:type="dxa"/>
          <w:right w:w="0" w:type="dxa"/>
        </w:tblCellMar>
      </w:tblPr>
      <w:tr>
        <w:trPr>
          <w:trHeight w:val="207"/>
        </w:trPr>
        <w:tc>
          <w:tcPr>
            <w:tcW w:w="3120" w:type="dxa"/>
            <w:vAlign w:val="bottom"/>
            <w:tcBorders>
              <w:left w:val="single" w:sz="8" w:color="auto"/>
            </w:tcBorders>
            <w:shd w:val="clear" w:color="auto" w:fill="00529B"/>
          </w:tcPr>
          <w:p>
            <w:pPr>
              <w:ind w:left="560"/>
              <w:spacing w:after="0"/>
              <w:rPr>
                <w:sz w:val="20"/>
                <w:szCs w:val="20"/>
                <w:color w:val="auto"/>
              </w:rPr>
            </w:pPr>
            <w:r>
              <w:rPr>
                <w:rFonts w:ascii="Arial" w:cs="Arial" w:eastAsia="Arial" w:hAnsi="Arial"/>
                <w:sz w:val="18"/>
                <w:szCs w:val="18"/>
                <w:b w:val="1"/>
                <w:bCs w:val="1"/>
                <w:color w:val="FFFFFE"/>
              </w:rPr>
              <w:t>Performance Level</w:t>
            </w:r>
          </w:p>
        </w:tc>
        <w:tc>
          <w:tcPr>
            <w:tcW w:w="1480" w:type="dxa"/>
            <w:vAlign w:val="bottom"/>
            <w:shd w:val="clear" w:color="auto" w:fill="00529B"/>
          </w:tcPr>
          <w:p>
            <w:pPr>
              <w:spacing w:after="0"/>
              <w:rPr>
                <w:sz w:val="18"/>
                <w:szCs w:val="18"/>
                <w:color w:val="auto"/>
              </w:rPr>
            </w:pPr>
          </w:p>
        </w:tc>
        <w:tc>
          <w:tcPr>
            <w:tcW w:w="2160" w:type="dxa"/>
            <w:vAlign w:val="bottom"/>
            <w:tcBorders>
              <w:right w:val="single" w:sz="8" w:color="auto"/>
            </w:tcBorders>
            <w:shd w:val="clear" w:color="auto" w:fill="00529B"/>
          </w:tcPr>
          <w:p>
            <w:pPr>
              <w:jc w:val="right"/>
              <w:ind w:right="1092"/>
              <w:spacing w:after="0"/>
              <w:rPr>
                <w:sz w:val="20"/>
                <w:szCs w:val="20"/>
                <w:color w:val="auto"/>
              </w:rPr>
            </w:pPr>
            <w:r>
              <w:rPr>
                <w:rFonts w:ascii="Arial" w:cs="Arial" w:eastAsia="Arial" w:hAnsi="Arial"/>
                <w:sz w:val="18"/>
                <w:szCs w:val="18"/>
                <w:b w:val="1"/>
                <w:bCs w:val="1"/>
                <w:color w:val="FFFFFE"/>
              </w:rPr>
              <w:t>EBITDA</w:t>
            </w:r>
          </w:p>
        </w:tc>
      </w:tr>
      <w:tr>
        <w:trPr>
          <w:trHeight w:val="230"/>
        </w:trPr>
        <w:tc>
          <w:tcPr>
            <w:tcW w:w="3120" w:type="dxa"/>
            <w:vAlign w:val="bottom"/>
            <w:tcBorders>
              <w:left w:val="single" w:sz="8" w:color="auto"/>
            </w:tcBorders>
            <w:shd w:val="clear" w:color="auto" w:fill="00529B"/>
          </w:tcPr>
          <w:p>
            <w:pPr>
              <w:spacing w:after="0"/>
              <w:rPr>
                <w:sz w:val="20"/>
                <w:szCs w:val="20"/>
                <w:color w:val="auto"/>
              </w:rPr>
            </w:pPr>
          </w:p>
        </w:tc>
        <w:tc>
          <w:tcPr>
            <w:tcW w:w="1480" w:type="dxa"/>
            <w:vAlign w:val="bottom"/>
            <w:shd w:val="clear" w:color="auto" w:fill="00529B"/>
          </w:tcPr>
          <w:p>
            <w:pPr>
              <w:spacing w:after="0"/>
              <w:rPr>
                <w:sz w:val="20"/>
                <w:szCs w:val="20"/>
                <w:color w:val="auto"/>
              </w:rPr>
            </w:pPr>
          </w:p>
        </w:tc>
        <w:tc>
          <w:tcPr>
            <w:tcW w:w="2160" w:type="dxa"/>
            <w:vAlign w:val="bottom"/>
            <w:tcBorders>
              <w:right w:val="single" w:sz="8" w:color="auto"/>
            </w:tcBorders>
            <w:shd w:val="clear" w:color="auto" w:fill="00529B"/>
          </w:tcPr>
          <w:p>
            <w:pPr>
              <w:jc w:val="right"/>
              <w:ind w:right="1072"/>
              <w:spacing w:after="0"/>
              <w:rPr>
                <w:sz w:val="20"/>
                <w:szCs w:val="20"/>
                <w:color w:val="auto"/>
              </w:rPr>
            </w:pPr>
            <w:r>
              <w:rPr>
                <w:rFonts w:ascii="Arial" w:cs="Arial" w:eastAsia="Arial" w:hAnsi="Arial"/>
                <w:sz w:val="18"/>
                <w:szCs w:val="18"/>
                <w:b w:val="1"/>
                <w:bCs w:val="1"/>
                <w:color w:val="FFFFFE"/>
              </w:rPr>
              <w:t>(millions)</w:t>
            </w:r>
          </w:p>
        </w:tc>
      </w:tr>
      <w:tr>
        <w:trPr>
          <w:trHeight w:val="431"/>
        </w:trPr>
        <w:tc>
          <w:tcPr>
            <w:tcW w:w="3120" w:type="dxa"/>
            <w:vAlign w:val="bottom"/>
            <w:tcBorders>
              <w:left w:val="single" w:sz="8" w:color="auto"/>
            </w:tcBorders>
          </w:tcPr>
          <w:p>
            <w:pPr>
              <w:ind w:left="560"/>
              <w:spacing w:after="0"/>
              <w:rPr>
                <w:sz w:val="20"/>
                <w:szCs w:val="20"/>
                <w:color w:val="auto"/>
              </w:rPr>
            </w:pPr>
            <w:r>
              <w:rPr>
                <w:rFonts w:ascii="Arial" w:cs="Arial" w:eastAsia="Arial" w:hAnsi="Arial"/>
                <w:sz w:val="18"/>
                <w:szCs w:val="18"/>
                <w:b w:val="1"/>
                <w:bCs w:val="1"/>
                <w:color w:val="auto"/>
              </w:rPr>
              <w:t>Threshold</w:t>
            </w:r>
          </w:p>
        </w:tc>
        <w:tc>
          <w:tcPr>
            <w:tcW w:w="1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160" w:type="dxa"/>
            <w:vAlign w:val="bottom"/>
            <w:tcBorders>
              <w:right w:val="single" w:sz="8" w:color="auto"/>
            </w:tcBorders>
          </w:tcPr>
          <w:p>
            <w:pPr>
              <w:jc w:val="right"/>
              <w:ind w:right="612"/>
              <w:spacing w:after="0"/>
              <w:rPr>
                <w:sz w:val="20"/>
                <w:szCs w:val="20"/>
                <w:color w:val="auto"/>
              </w:rPr>
            </w:pPr>
            <w:r>
              <w:rPr>
                <w:rFonts w:ascii="Arial" w:cs="Arial" w:eastAsia="Arial" w:hAnsi="Arial"/>
                <w:sz w:val="18"/>
                <w:szCs w:val="18"/>
                <w:color w:val="auto"/>
              </w:rPr>
              <w:t>364.2</w:t>
            </w:r>
          </w:p>
        </w:tc>
      </w:tr>
      <w:tr>
        <w:trPr>
          <w:trHeight w:val="433"/>
        </w:trPr>
        <w:tc>
          <w:tcPr>
            <w:tcW w:w="3120" w:type="dxa"/>
            <w:vAlign w:val="bottom"/>
            <w:tcBorders>
              <w:left w:val="single" w:sz="8" w:color="auto"/>
            </w:tcBorders>
            <w:shd w:val="clear" w:color="auto" w:fill="DFE3F1"/>
          </w:tcPr>
          <w:p>
            <w:pPr>
              <w:ind w:left="560"/>
              <w:spacing w:after="0"/>
              <w:rPr>
                <w:sz w:val="20"/>
                <w:szCs w:val="20"/>
                <w:color w:val="auto"/>
              </w:rPr>
            </w:pPr>
            <w:r>
              <w:rPr>
                <w:rFonts w:ascii="Arial" w:cs="Arial" w:eastAsia="Arial" w:hAnsi="Arial"/>
                <w:sz w:val="18"/>
                <w:szCs w:val="18"/>
                <w:b w:val="1"/>
                <w:bCs w:val="1"/>
                <w:color w:val="auto"/>
              </w:rPr>
              <w:t>Target</w:t>
            </w:r>
          </w:p>
        </w:tc>
        <w:tc>
          <w:tcPr>
            <w:tcW w:w="1480" w:type="dxa"/>
            <w:vAlign w:val="bottom"/>
            <w:shd w:val="clear" w:color="auto" w:fill="DFE3F1"/>
          </w:tcPr>
          <w:p>
            <w:pPr>
              <w:jc w:val="right"/>
              <w:ind w:right="192"/>
              <w:spacing w:after="0"/>
              <w:rPr>
                <w:sz w:val="20"/>
                <w:szCs w:val="20"/>
                <w:color w:val="auto"/>
              </w:rPr>
            </w:pPr>
            <w:r>
              <w:rPr>
                <w:rFonts w:ascii="Arial" w:cs="Arial" w:eastAsia="Arial" w:hAnsi="Arial"/>
                <w:sz w:val="18"/>
                <w:szCs w:val="18"/>
                <w:color w:val="auto"/>
              </w:rPr>
              <w:t>$</w:t>
            </w:r>
          </w:p>
        </w:tc>
        <w:tc>
          <w:tcPr>
            <w:tcW w:w="2160" w:type="dxa"/>
            <w:vAlign w:val="bottom"/>
            <w:tcBorders>
              <w:right w:val="single" w:sz="8" w:color="auto"/>
            </w:tcBorders>
            <w:shd w:val="clear" w:color="auto" w:fill="DFE3F1"/>
          </w:tcPr>
          <w:p>
            <w:pPr>
              <w:jc w:val="right"/>
              <w:ind w:right="612"/>
              <w:spacing w:after="0"/>
              <w:rPr>
                <w:sz w:val="20"/>
                <w:szCs w:val="20"/>
                <w:color w:val="auto"/>
              </w:rPr>
            </w:pPr>
            <w:r>
              <w:rPr>
                <w:rFonts w:ascii="Arial" w:cs="Arial" w:eastAsia="Arial" w:hAnsi="Arial"/>
                <w:sz w:val="18"/>
                <w:szCs w:val="18"/>
                <w:color w:val="auto"/>
              </w:rPr>
              <w:t>373.8</w:t>
            </w:r>
          </w:p>
        </w:tc>
      </w:tr>
      <w:tr>
        <w:trPr>
          <w:trHeight w:val="453"/>
        </w:trPr>
        <w:tc>
          <w:tcPr>
            <w:tcW w:w="3120" w:type="dxa"/>
            <w:vAlign w:val="bottom"/>
            <w:tcBorders>
              <w:left w:val="single" w:sz="8" w:color="auto"/>
              <w:bottom w:val="single" w:sz="8" w:color="0048E0"/>
            </w:tcBorders>
          </w:tcPr>
          <w:p>
            <w:pPr>
              <w:ind w:left="5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bottom w:val="single" w:sz="8" w:color="0048E0"/>
            </w:tcBorders>
          </w:tcPr>
          <w:p>
            <w:pPr>
              <w:jc w:val="right"/>
              <w:ind w:right="192"/>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0048E0"/>
              <w:right w:val="single" w:sz="8" w:color="auto"/>
            </w:tcBorders>
          </w:tcPr>
          <w:p>
            <w:pPr>
              <w:jc w:val="right"/>
              <w:ind w:right="612"/>
              <w:spacing w:after="0"/>
              <w:rPr>
                <w:sz w:val="20"/>
                <w:szCs w:val="20"/>
                <w:color w:val="auto"/>
              </w:rPr>
            </w:pPr>
            <w:r>
              <w:rPr>
                <w:rFonts w:ascii="Arial" w:cs="Arial" w:eastAsia="Arial" w:hAnsi="Arial"/>
                <w:sz w:val="18"/>
                <w:szCs w:val="18"/>
                <w:color w:val="auto"/>
              </w:rPr>
              <w:t>467.3</w:t>
            </w:r>
          </w:p>
        </w:tc>
      </w:tr>
    </w:tbl>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0048E0"/>
        </w:rPr>
        <w:t>Line of Sight Profitability</w:t>
      </w:r>
    </w:p>
    <w:p>
      <w:pPr>
        <w:spacing w:after="0" w:line="225" w:lineRule="exact"/>
        <w:rPr>
          <w:sz w:val="20"/>
          <w:szCs w:val="20"/>
          <w:color w:val="auto"/>
        </w:rPr>
      </w:pPr>
    </w:p>
    <w:p>
      <w:pPr>
        <w:ind w:right="80" w:firstLine="614"/>
        <w:spacing w:after="0" w:line="283" w:lineRule="auto"/>
        <w:rPr>
          <w:sz w:val="20"/>
          <w:szCs w:val="20"/>
          <w:color w:val="auto"/>
        </w:rPr>
      </w:pPr>
      <w:r>
        <w:rPr>
          <w:rFonts w:ascii="Arial" w:cs="Arial" w:eastAsia="Arial" w:hAnsi="Arial"/>
          <w:sz w:val="16"/>
          <w:szCs w:val="16"/>
          <w:color w:val="auto"/>
        </w:rPr>
        <w:t>For each of Messrs. Crosby and Rau, a portion of their performance-related incentive award was also based on the Operating Income of select parts of our business for which they had responsibility. For Mr. Crosby, this amount was based on the Operating Income of our government-related physical operations ("Physical Operations LOS") and the Operating Income of our land segment, excluding our payment processing operations and Physical Operations LOS ("Land LOS"). For Mr. Rau, this amount was based on the combined Operating Income of our marine segment and our aviation segment, excluding our payment processing operations and Physical Operations LOS ("Aviation/Marine LOS").</w:t>
      </w:r>
    </w:p>
    <w:p>
      <w:pPr>
        <w:spacing w:after="0" w:line="2"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14"/>
        <w:spacing w:after="0" w:line="268" w:lineRule="auto"/>
        <w:rPr>
          <w:sz w:val="20"/>
          <w:szCs w:val="20"/>
          <w:color w:val="auto"/>
        </w:rPr>
      </w:pPr>
      <w:r>
        <w:rPr>
          <w:rFonts w:ascii="Arial" w:cs="Arial" w:eastAsia="Arial" w:hAnsi="Arial"/>
          <w:sz w:val="18"/>
          <w:szCs w:val="18"/>
          <w:color w:val="auto"/>
        </w:rPr>
        <w:t>For 2019, the Committee set the following threshold, target and maximum cash bonus opportunities for the Operating Income of Messrs. Crosby's and Rau's respective lines of 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123190</wp:posOffset>
            </wp:positionV>
            <wp:extent cx="4989195" cy="5568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89195" cy="55689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E"/>
        </w:rPr>
        <w:t>Bonus Opportunity – Line of Sight Operating Income</w:t>
      </w:r>
    </w:p>
    <w:p>
      <w:pPr>
        <w:spacing w:after="0" w:line="41" w:lineRule="exact"/>
        <w:rPr>
          <w:sz w:val="20"/>
          <w:szCs w:val="20"/>
          <w:color w:val="auto"/>
        </w:rPr>
      </w:pPr>
    </w:p>
    <w:tbl>
      <w:tblPr>
        <w:tblLayout w:type="fixed"/>
        <w:tblInd w:w="1710" w:type="dxa"/>
        <w:tblCellMar>
          <w:top w:w="0" w:type="dxa"/>
          <w:left w:w="0" w:type="dxa"/>
          <w:bottom w:w="0" w:type="dxa"/>
          <w:right w:w="0" w:type="dxa"/>
        </w:tblCellMar>
      </w:tblPr>
      <w:tr>
        <w:trPr>
          <w:trHeight w:val="212"/>
        </w:trPr>
        <w:tc>
          <w:tcPr>
            <w:tcW w:w="1960" w:type="dxa"/>
            <w:vAlign w:val="bottom"/>
            <w:tcBorders>
              <w:left w:val="single" w:sz="8" w:color="00529B"/>
            </w:tcBorders>
            <w:shd w:val="clear" w:color="auto" w:fill="00529B"/>
          </w:tcPr>
          <w:p>
            <w:pPr>
              <w:ind w:left="260"/>
              <w:spacing w:after="0"/>
              <w:rPr>
                <w:sz w:val="20"/>
                <w:szCs w:val="20"/>
                <w:color w:val="auto"/>
              </w:rPr>
            </w:pPr>
            <w:r>
              <w:rPr>
                <w:rFonts w:ascii="Arial" w:cs="Arial" w:eastAsia="Arial" w:hAnsi="Arial"/>
                <w:sz w:val="18"/>
                <w:szCs w:val="18"/>
                <w:b w:val="1"/>
                <w:bCs w:val="1"/>
                <w:color w:val="FFFFFE"/>
              </w:rPr>
              <w:t>NEO</w:t>
            </w:r>
          </w:p>
        </w:tc>
        <w:tc>
          <w:tcPr>
            <w:tcW w:w="1740" w:type="dxa"/>
            <w:vAlign w:val="bottom"/>
            <w:shd w:val="clear" w:color="auto" w:fill="00529B"/>
          </w:tcPr>
          <w:p>
            <w:pPr>
              <w:spacing w:after="0"/>
              <w:rPr>
                <w:sz w:val="18"/>
                <w:szCs w:val="18"/>
                <w:color w:val="auto"/>
              </w:rPr>
            </w:pPr>
          </w:p>
        </w:tc>
        <w:tc>
          <w:tcPr>
            <w:tcW w:w="320" w:type="dxa"/>
            <w:vAlign w:val="bottom"/>
            <w:shd w:val="clear" w:color="auto" w:fill="00529B"/>
          </w:tcPr>
          <w:p>
            <w:pPr>
              <w:spacing w:after="0"/>
              <w:rPr>
                <w:sz w:val="18"/>
                <w:szCs w:val="18"/>
                <w:color w:val="auto"/>
              </w:rPr>
            </w:pPr>
          </w:p>
        </w:tc>
        <w:tc>
          <w:tcPr>
            <w:tcW w:w="1060" w:type="dxa"/>
            <w:vAlign w:val="bottom"/>
            <w:shd w:val="clear" w:color="auto" w:fill="00529B"/>
          </w:tcPr>
          <w:p>
            <w:pPr>
              <w:jc w:val="right"/>
              <w:ind w:right="132"/>
              <w:spacing w:after="0"/>
              <w:rPr>
                <w:sz w:val="20"/>
                <w:szCs w:val="20"/>
                <w:color w:val="auto"/>
              </w:rPr>
            </w:pPr>
            <w:r>
              <w:rPr>
                <w:rFonts w:ascii="Arial" w:cs="Arial" w:eastAsia="Arial" w:hAnsi="Arial"/>
                <w:sz w:val="18"/>
                <w:szCs w:val="18"/>
                <w:b w:val="1"/>
                <w:bCs w:val="1"/>
                <w:color w:val="FFFFFE"/>
                <w:w w:val="94"/>
              </w:rPr>
              <w:t>Threshold</w:t>
            </w:r>
          </w:p>
        </w:tc>
        <w:tc>
          <w:tcPr>
            <w:tcW w:w="300" w:type="dxa"/>
            <w:vAlign w:val="bottom"/>
            <w:shd w:val="clear" w:color="auto" w:fill="00529B"/>
          </w:tcPr>
          <w:p>
            <w:pPr>
              <w:spacing w:after="0"/>
              <w:rPr>
                <w:sz w:val="18"/>
                <w:szCs w:val="18"/>
                <w:color w:val="auto"/>
              </w:rPr>
            </w:pPr>
          </w:p>
        </w:tc>
        <w:tc>
          <w:tcPr>
            <w:tcW w:w="980" w:type="dxa"/>
            <w:vAlign w:val="bottom"/>
            <w:shd w:val="clear" w:color="auto" w:fill="00529B"/>
          </w:tcPr>
          <w:p>
            <w:pPr>
              <w:jc w:val="right"/>
              <w:ind w:right="252"/>
              <w:spacing w:after="0"/>
              <w:rPr>
                <w:sz w:val="20"/>
                <w:szCs w:val="20"/>
                <w:color w:val="auto"/>
              </w:rPr>
            </w:pPr>
            <w:r>
              <w:rPr>
                <w:rFonts w:ascii="Arial" w:cs="Arial" w:eastAsia="Arial" w:hAnsi="Arial"/>
                <w:sz w:val="18"/>
                <w:szCs w:val="18"/>
                <w:b w:val="1"/>
                <w:bCs w:val="1"/>
                <w:color w:val="FFFFFE"/>
              </w:rPr>
              <w:t>Target</w:t>
            </w:r>
          </w:p>
        </w:tc>
        <w:tc>
          <w:tcPr>
            <w:tcW w:w="240" w:type="dxa"/>
            <w:vAlign w:val="bottom"/>
            <w:shd w:val="clear" w:color="auto" w:fill="00529B"/>
          </w:tcPr>
          <w:p>
            <w:pPr>
              <w:spacing w:after="0"/>
              <w:rPr>
                <w:sz w:val="18"/>
                <w:szCs w:val="18"/>
                <w:color w:val="auto"/>
              </w:rPr>
            </w:pPr>
          </w:p>
        </w:tc>
        <w:tc>
          <w:tcPr>
            <w:tcW w:w="1260" w:type="dxa"/>
            <w:vAlign w:val="bottom"/>
            <w:tcBorders>
              <w:right w:val="single" w:sz="8" w:color="00529B"/>
            </w:tcBorders>
            <w:shd w:val="clear" w:color="auto" w:fill="00529B"/>
          </w:tcPr>
          <w:p>
            <w:pPr>
              <w:jc w:val="right"/>
              <w:ind w:right="312"/>
              <w:spacing w:after="0"/>
              <w:rPr>
                <w:sz w:val="20"/>
                <w:szCs w:val="20"/>
                <w:color w:val="auto"/>
              </w:rPr>
            </w:pPr>
            <w:r>
              <w:rPr>
                <w:rFonts w:ascii="Arial" w:cs="Arial" w:eastAsia="Arial" w:hAnsi="Arial"/>
                <w:sz w:val="18"/>
                <w:szCs w:val="18"/>
                <w:b w:val="1"/>
                <w:bCs w:val="1"/>
                <w:color w:val="FFFFFE"/>
              </w:rPr>
              <w:t>Maximum</w:t>
            </w:r>
          </w:p>
        </w:tc>
      </w:tr>
      <w:tr>
        <w:trPr>
          <w:trHeight w:val="216"/>
        </w:trPr>
        <w:tc>
          <w:tcPr>
            <w:tcW w:w="1960" w:type="dxa"/>
            <w:vAlign w:val="bottom"/>
            <w:tcBorders>
              <w:left w:val="single" w:sz="8" w:color="auto"/>
            </w:tcBorders>
            <w:shd w:val="clear" w:color="auto" w:fill="DFE3F1"/>
          </w:tcPr>
          <w:p>
            <w:pPr>
              <w:ind w:left="260"/>
              <w:spacing w:after="0"/>
              <w:rPr>
                <w:sz w:val="20"/>
                <w:szCs w:val="20"/>
                <w:color w:val="auto"/>
              </w:rPr>
            </w:pPr>
            <w:r>
              <w:rPr>
                <w:rFonts w:ascii="Arial" w:cs="Arial" w:eastAsia="Arial" w:hAnsi="Arial"/>
                <w:sz w:val="18"/>
                <w:szCs w:val="18"/>
                <w:b w:val="1"/>
                <w:bCs w:val="1"/>
                <w:color w:val="auto"/>
              </w:rPr>
              <w:t>Crosby</w:t>
            </w:r>
          </w:p>
        </w:tc>
        <w:tc>
          <w:tcPr>
            <w:tcW w:w="1740" w:type="dxa"/>
            <w:vAlign w:val="bottom"/>
            <w:shd w:val="clear" w:color="auto" w:fill="DFE3F1"/>
          </w:tcPr>
          <w:p>
            <w:pPr>
              <w:ind w:left="16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DFE3F1"/>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FE3F1"/>
          </w:tcPr>
          <w:p>
            <w:pPr>
              <w:jc w:val="right"/>
              <w:spacing w:after="0"/>
              <w:rPr>
                <w:sz w:val="20"/>
                <w:szCs w:val="20"/>
                <w:color w:val="auto"/>
              </w:rPr>
            </w:pPr>
            <w:r>
              <w:rPr>
                <w:rFonts w:ascii="Arial" w:cs="Arial" w:eastAsia="Arial" w:hAnsi="Arial"/>
                <w:sz w:val="18"/>
                <w:szCs w:val="18"/>
                <w:color w:val="auto"/>
              </w:rPr>
              <w:t>75,000</w:t>
            </w:r>
          </w:p>
        </w:tc>
        <w:tc>
          <w:tcPr>
            <w:tcW w:w="300" w:type="dxa"/>
            <w:vAlign w:val="bottom"/>
            <w:shd w:val="clear" w:color="auto" w:fill="DFE3F1"/>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DFE3F1"/>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shd w:val="clear" w:color="auto" w:fill="DFE3F1"/>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DFE3F1"/>
          </w:tcPr>
          <w:p>
            <w:pPr>
              <w:jc w:val="right"/>
              <w:ind w:right="192"/>
              <w:spacing w:after="0"/>
              <w:rPr>
                <w:sz w:val="20"/>
                <w:szCs w:val="20"/>
                <w:color w:val="auto"/>
              </w:rPr>
            </w:pPr>
            <w:r>
              <w:rPr>
                <w:rFonts w:ascii="Arial" w:cs="Arial" w:eastAsia="Arial" w:hAnsi="Arial"/>
                <w:sz w:val="18"/>
                <w:szCs w:val="18"/>
                <w:color w:val="auto"/>
              </w:rPr>
              <w:t>900,000</w:t>
            </w:r>
          </w:p>
        </w:tc>
      </w:tr>
      <w:tr>
        <w:trPr>
          <w:trHeight w:val="216"/>
        </w:trPr>
        <w:tc>
          <w:tcPr>
            <w:tcW w:w="1960" w:type="dxa"/>
            <w:vAlign w:val="bottom"/>
            <w:tcBorders>
              <w:left w:val="single" w:sz="8" w:color="auto"/>
              <w:bottom w:val="single" w:sz="8" w:color="DFE3F1"/>
            </w:tcBorders>
            <w:shd w:val="clear" w:color="auto" w:fill="DFE3F1"/>
          </w:tcPr>
          <w:p>
            <w:pPr>
              <w:spacing w:after="0"/>
              <w:rPr>
                <w:sz w:val="18"/>
                <w:szCs w:val="18"/>
                <w:color w:val="auto"/>
              </w:rPr>
            </w:pPr>
          </w:p>
        </w:tc>
        <w:tc>
          <w:tcPr>
            <w:tcW w:w="174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8"/>
                <w:szCs w:val="18"/>
                <w:color w:val="auto"/>
                <w:w w:val="97"/>
              </w:rPr>
              <w:t>Physical Operations</w:t>
            </w:r>
          </w:p>
        </w:tc>
        <w:tc>
          <w:tcPr>
            <w:tcW w:w="320" w:type="dxa"/>
            <w:vAlign w:val="bottom"/>
            <w:tcBorders>
              <w:bottom w:val="single" w:sz="8" w:color="auto"/>
            </w:tcBorders>
            <w:shd w:val="clear" w:color="auto" w:fill="DFE3F1"/>
          </w:tcPr>
          <w:p>
            <w:pPr>
              <w:spacing w:after="0"/>
              <w:rPr>
                <w:sz w:val="18"/>
                <w:szCs w:val="18"/>
                <w:color w:val="auto"/>
              </w:rPr>
            </w:pPr>
          </w:p>
        </w:tc>
        <w:tc>
          <w:tcPr>
            <w:tcW w:w="106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tcBorders>
              <w:bottom w:val="single" w:sz="8" w:color="auto"/>
            </w:tcBorders>
            <w:shd w:val="clear" w:color="auto" w:fill="DFE3F1"/>
          </w:tcPr>
          <w:p>
            <w:pPr>
              <w:spacing w:after="0"/>
              <w:rPr>
                <w:sz w:val="18"/>
                <w:szCs w:val="18"/>
                <w:color w:val="auto"/>
              </w:rPr>
            </w:pPr>
          </w:p>
        </w:tc>
        <w:tc>
          <w:tcPr>
            <w:tcW w:w="98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Borders>
              <w:bottom w:val="single" w:sz="8" w:color="auto"/>
            </w:tcBorders>
            <w:shd w:val="clear" w:color="auto" w:fill="DFE3F1"/>
          </w:tcPr>
          <w:p>
            <w:pPr>
              <w:spacing w:after="0"/>
              <w:rPr>
                <w:sz w:val="18"/>
                <w:szCs w:val="18"/>
                <w:color w:val="auto"/>
              </w:rPr>
            </w:pPr>
          </w:p>
        </w:tc>
        <w:tc>
          <w:tcPr>
            <w:tcW w:w="1260" w:type="dxa"/>
            <w:vAlign w:val="bottom"/>
            <w:tcBorders>
              <w:bottom w:val="single" w:sz="8" w:color="auto"/>
              <w:right w:val="single" w:sz="8" w:color="auto"/>
            </w:tcBorders>
            <w:shd w:val="clear" w:color="auto" w:fill="DFE3F1"/>
          </w:tcPr>
          <w:p>
            <w:pPr>
              <w:jc w:val="right"/>
              <w:ind w:right="192"/>
              <w:spacing w:after="0"/>
              <w:rPr>
                <w:sz w:val="20"/>
                <w:szCs w:val="20"/>
                <w:color w:val="auto"/>
              </w:rPr>
            </w:pPr>
            <w:r>
              <w:rPr>
                <w:rFonts w:ascii="Arial" w:cs="Arial" w:eastAsia="Arial" w:hAnsi="Arial"/>
                <w:sz w:val="18"/>
                <w:szCs w:val="18"/>
                <w:color w:val="auto"/>
              </w:rPr>
              <w:t>300,000</w:t>
            </w:r>
          </w:p>
        </w:tc>
      </w:tr>
      <w:tr>
        <w:trPr>
          <w:trHeight w:val="209"/>
        </w:trPr>
        <w:tc>
          <w:tcPr>
            <w:tcW w:w="1960" w:type="dxa"/>
            <w:vAlign w:val="bottom"/>
            <w:tcBorders>
              <w:left w:val="single" w:sz="8" w:color="auto"/>
              <w:bottom w:val="single" w:sz="8" w:color="auto"/>
            </w:tcBorders>
            <w:shd w:val="clear" w:color="auto" w:fill="DFE3F1"/>
          </w:tcPr>
          <w:p>
            <w:pPr>
              <w:spacing w:after="0"/>
              <w:rPr>
                <w:sz w:val="18"/>
                <w:szCs w:val="18"/>
                <w:color w:val="auto"/>
              </w:rPr>
            </w:pPr>
          </w:p>
        </w:tc>
        <w:tc>
          <w:tcPr>
            <w:tcW w:w="174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DFE3F1"/>
          </w:tcPr>
          <w:p>
            <w:pPr>
              <w:spacing w:after="0"/>
              <w:rPr>
                <w:sz w:val="18"/>
                <w:szCs w:val="18"/>
                <w:color w:val="auto"/>
              </w:rPr>
            </w:pPr>
          </w:p>
        </w:tc>
        <w:tc>
          <w:tcPr>
            <w:tcW w:w="106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b w:val="1"/>
                <w:bCs w:val="1"/>
                <w:color w:val="auto"/>
              </w:rPr>
              <w:t>125,000</w:t>
            </w:r>
          </w:p>
        </w:tc>
        <w:tc>
          <w:tcPr>
            <w:tcW w:w="300" w:type="dxa"/>
            <w:vAlign w:val="bottom"/>
            <w:tcBorders>
              <w:bottom w:val="single" w:sz="8" w:color="auto"/>
            </w:tcBorders>
            <w:shd w:val="clear" w:color="auto" w:fill="DFE3F1"/>
          </w:tcPr>
          <w:p>
            <w:pPr>
              <w:spacing w:after="0"/>
              <w:rPr>
                <w:sz w:val="18"/>
                <w:szCs w:val="18"/>
                <w:color w:val="auto"/>
              </w:rPr>
            </w:pPr>
          </w:p>
        </w:tc>
        <w:tc>
          <w:tcPr>
            <w:tcW w:w="98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8"/>
                <w:szCs w:val="18"/>
                <w:b w:val="1"/>
                <w:bCs w:val="1"/>
                <w:color w:val="auto"/>
              </w:rPr>
              <w:t>450,000</w:t>
            </w:r>
          </w:p>
        </w:tc>
        <w:tc>
          <w:tcPr>
            <w:tcW w:w="240" w:type="dxa"/>
            <w:vAlign w:val="bottom"/>
            <w:tcBorders>
              <w:bottom w:val="single" w:sz="8" w:color="auto"/>
            </w:tcBorders>
            <w:shd w:val="clear" w:color="auto" w:fill="DFE3F1"/>
          </w:tcPr>
          <w:p>
            <w:pPr>
              <w:spacing w:after="0"/>
              <w:rPr>
                <w:sz w:val="18"/>
                <w:szCs w:val="18"/>
                <w:color w:val="auto"/>
              </w:rPr>
            </w:pPr>
          </w:p>
        </w:tc>
        <w:tc>
          <w:tcPr>
            <w:tcW w:w="1260" w:type="dxa"/>
            <w:vAlign w:val="bottom"/>
            <w:tcBorders>
              <w:bottom w:val="single" w:sz="8" w:color="auto"/>
              <w:right w:val="single" w:sz="8" w:color="auto"/>
            </w:tcBorders>
            <w:shd w:val="clear" w:color="auto" w:fill="DFE3F1"/>
          </w:tcPr>
          <w:p>
            <w:pPr>
              <w:jc w:val="right"/>
              <w:ind w:right="192"/>
              <w:spacing w:after="0"/>
              <w:rPr>
                <w:sz w:val="20"/>
                <w:szCs w:val="20"/>
                <w:color w:val="auto"/>
              </w:rPr>
            </w:pPr>
            <w:r>
              <w:rPr>
                <w:rFonts w:ascii="Arial" w:cs="Arial" w:eastAsia="Arial" w:hAnsi="Arial"/>
                <w:sz w:val="18"/>
                <w:szCs w:val="18"/>
                <w:b w:val="1"/>
                <w:bCs w:val="1"/>
                <w:color w:val="auto"/>
              </w:rPr>
              <w:t>1,200,000</w:t>
            </w:r>
          </w:p>
        </w:tc>
      </w:tr>
      <w:tr>
        <w:trPr>
          <w:trHeight w:val="210"/>
        </w:trPr>
        <w:tc>
          <w:tcPr>
            <w:tcW w:w="196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color w:val="auto"/>
              </w:rPr>
              <w:t>Rau</w:t>
            </w:r>
          </w:p>
        </w:tc>
        <w:tc>
          <w:tcPr>
            <w:tcW w:w="17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Aviation/Marine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200,000</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450,000</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1,200,000</w:t>
            </w:r>
          </w:p>
        </w:tc>
      </w:tr>
      <w:tr>
        <w:trPr>
          <w:trHeight w:val="34"/>
        </w:trPr>
        <w:tc>
          <w:tcPr>
            <w:tcW w:w="1960" w:type="dxa"/>
            <w:vAlign w:val="bottom"/>
            <w:tcBorders>
              <w:left w:val="single" w:sz="8" w:color="0048E0"/>
            </w:tcBorders>
            <w:shd w:val="clear" w:color="auto" w:fill="0048E0"/>
          </w:tcPr>
          <w:p>
            <w:pPr>
              <w:spacing w:after="0"/>
              <w:rPr>
                <w:sz w:val="2"/>
                <w:szCs w:val="2"/>
                <w:color w:val="auto"/>
              </w:rPr>
            </w:pPr>
          </w:p>
        </w:tc>
        <w:tc>
          <w:tcPr>
            <w:tcW w:w="1740" w:type="dxa"/>
            <w:vAlign w:val="bottom"/>
            <w:shd w:val="clear" w:color="auto" w:fill="0048E0"/>
          </w:tcPr>
          <w:p>
            <w:pPr>
              <w:spacing w:after="0"/>
              <w:rPr>
                <w:sz w:val="2"/>
                <w:szCs w:val="2"/>
                <w:color w:val="auto"/>
              </w:rPr>
            </w:pPr>
          </w:p>
        </w:tc>
        <w:tc>
          <w:tcPr>
            <w:tcW w:w="320" w:type="dxa"/>
            <w:vAlign w:val="bottom"/>
            <w:shd w:val="clear" w:color="auto" w:fill="0048E0"/>
          </w:tcPr>
          <w:p>
            <w:pPr>
              <w:spacing w:after="0"/>
              <w:rPr>
                <w:sz w:val="2"/>
                <w:szCs w:val="2"/>
                <w:color w:val="auto"/>
              </w:rPr>
            </w:pPr>
          </w:p>
        </w:tc>
        <w:tc>
          <w:tcPr>
            <w:tcW w:w="1060" w:type="dxa"/>
            <w:vAlign w:val="bottom"/>
            <w:shd w:val="clear" w:color="auto" w:fill="0048E0"/>
          </w:tcPr>
          <w:p>
            <w:pPr>
              <w:spacing w:after="0"/>
              <w:rPr>
                <w:sz w:val="2"/>
                <w:szCs w:val="2"/>
                <w:color w:val="auto"/>
              </w:rPr>
            </w:pPr>
          </w:p>
        </w:tc>
        <w:tc>
          <w:tcPr>
            <w:tcW w:w="300" w:type="dxa"/>
            <w:vAlign w:val="bottom"/>
            <w:shd w:val="clear" w:color="auto" w:fill="0048E0"/>
          </w:tcPr>
          <w:p>
            <w:pPr>
              <w:spacing w:after="0"/>
              <w:rPr>
                <w:sz w:val="2"/>
                <w:szCs w:val="2"/>
                <w:color w:val="auto"/>
              </w:rPr>
            </w:pPr>
          </w:p>
        </w:tc>
        <w:tc>
          <w:tcPr>
            <w:tcW w:w="980" w:type="dxa"/>
            <w:vAlign w:val="bottom"/>
            <w:shd w:val="clear" w:color="auto" w:fill="0048E0"/>
          </w:tcPr>
          <w:p>
            <w:pPr>
              <w:spacing w:after="0"/>
              <w:rPr>
                <w:sz w:val="2"/>
                <w:szCs w:val="2"/>
                <w:color w:val="auto"/>
              </w:rPr>
            </w:pPr>
          </w:p>
        </w:tc>
        <w:tc>
          <w:tcPr>
            <w:tcW w:w="240" w:type="dxa"/>
            <w:vAlign w:val="bottom"/>
            <w:shd w:val="clear" w:color="auto" w:fill="0048E0"/>
          </w:tcPr>
          <w:p>
            <w:pPr>
              <w:spacing w:after="0"/>
              <w:rPr>
                <w:sz w:val="2"/>
                <w:szCs w:val="2"/>
                <w:color w:val="auto"/>
              </w:rPr>
            </w:pPr>
          </w:p>
        </w:tc>
        <w:tc>
          <w:tcPr>
            <w:tcW w:w="1260" w:type="dxa"/>
            <w:vAlign w:val="bottom"/>
            <w:tcBorders>
              <w:right w:val="single" w:sz="8" w:color="0048E0"/>
            </w:tcBorders>
            <w:shd w:val="clear" w:color="auto" w:fill="0048E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-325120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-33655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Committee established the threshold, target and maximum performance levels for each line of sight based on our confidential operating plan. The threshold was set above the prior year's performance, while the target level represented significant growth and the maximum performance level was intended to be extremely challenging, representing extraordinary annual growth.</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0048E0"/>
        </w:rPr>
        <w:t>Strategic Objectives</w:t>
      </w:r>
    </w:p>
    <w:p>
      <w:pPr>
        <w:spacing w:after="0" w:line="225" w:lineRule="exact"/>
        <w:rPr>
          <w:sz w:val="20"/>
          <w:szCs w:val="20"/>
          <w:color w:val="auto"/>
        </w:rPr>
      </w:pPr>
    </w:p>
    <w:p>
      <w:pPr>
        <w:ind w:right="40" w:firstLine="605"/>
        <w:spacing w:after="0" w:line="290" w:lineRule="auto"/>
        <w:rPr>
          <w:sz w:val="20"/>
          <w:szCs w:val="20"/>
          <w:color w:val="auto"/>
        </w:rPr>
      </w:pPr>
      <w:r>
        <w:rPr>
          <w:rFonts w:ascii="Arial" w:cs="Arial" w:eastAsia="Arial" w:hAnsi="Arial"/>
          <w:sz w:val="16"/>
          <w:szCs w:val="16"/>
          <w:color w:val="auto"/>
        </w:rPr>
        <w:t>As part of its annual incentive program, the Committee also rewards NEOs based on the achievement of certain strategic objectives that support key strategic and operational areas of focus for the year. In 2019, these objectives related to a number of Company initiatives, including sharpening the portfolio, digitizing the business to, among other things, enhance the customer experience and increase efficiencies, developing talent and fostering a culture of innovation, as well as driving operational efficiencies and increasing operating leverage. The Committee sets the maximum cash incentive at the beginning of the year and determines in March of the following year the percentage of cash compensation that will be awarded based on each NEO's individual achievement of their respective objectives. For 2019, the Committee set the following maximum cash incentive for each NEO based on the Committee's review of the objectives as whole and each individual NEO's contribution to achieving those objectives.</w:t>
      </w:r>
    </w:p>
    <w:p>
      <w:pPr>
        <w:spacing w:after="0" w:line="180" w:lineRule="exact"/>
        <w:rPr>
          <w:sz w:val="20"/>
          <w:szCs w:val="20"/>
          <w:color w:val="auto"/>
        </w:rPr>
      </w:pPr>
    </w:p>
    <w:tbl>
      <w:tblPr>
        <w:tblLayout w:type="fixed"/>
        <w:tblInd w:w="2250" w:type="dxa"/>
        <w:tblCellMar>
          <w:top w:w="0" w:type="dxa"/>
          <w:left w:w="0" w:type="dxa"/>
          <w:bottom w:w="0" w:type="dxa"/>
          <w:right w:w="0" w:type="dxa"/>
        </w:tblCellMar>
      </w:tblPr>
      <w:tr>
        <w:trPr>
          <w:trHeight w:val="430"/>
        </w:trPr>
        <w:tc>
          <w:tcPr>
            <w:tcW w:w="2720" w:type="dxa"/>
            <w:vAlign w:val="bottom"/>
            <w:tcBorders>
              <w:left w:val="single" w:sz="8" w:color="auto"/>
            </w:tcBorders>
            <w:shd w:val="clear" w:color="auto" w:fill="00529B"/>
          </w:tcPr>
          <w:p>
            <w:pPr>
              <w:ind w:left="500"/>
              <w:spacing w:after="0"/>
              <w:rPr>
                <w:sz w:val="20"/>
                <w:szCs w:val="20"/>
                <w:color w:val="auto"/>
              </w:rPr>
            </w:pPr>
            <w:r>
              <w:rPr>
                <w:rFonts w:ascii="Arial" w:cs="Arial" w:eastAsia="Arial" w:hAnsi="Arial"/>
                <w:sz w:val="18"/>
                <w:szCs w:val="18"/>
                <w:b w:val="1"/>
                <w:bCs w:val="1"/>
                <w:color w:val="FFFFFE"/>
              </w:rPr>
              <w:t>NEO</w:t>
            </w:r>
          </w:p>
        </w:tc>
        <w:tc>
          <w:tcPr>
            <w:tcW w:w="4040" w:type="dxa"/>
            <w:vAlign w:val="bottom"/>
            <w:tcBorders>
              <w:right w:val="single" w:sz="8" w:color="00529B"/>
            </w:tcBorders>
            <w:shd w:val="clear" w:color="auto" w:fill="00529B"/>
          </w:tcPr>
          <w:p>
            <w:pPr>
              <w:jc w:val="right"/>
              <w:ind w:right="192"/>
              <w:spacing w:after="0"/>
              <w:rPr>
                <w:sz w:val="20"/>
                <w:szCs w:val="20"/>
                <w:color w:val="auto"/>
              </w:rPr>
            </w:pPr>
            <w:r>
              <w:rPr>
                <w:rFonts w:ascii="Arial" w:cs="Arial" w:eastAsia="Arial" w:hAnsi="Arial"/>
                <w:sz w:val="18"/>
                <w:szCs w:val="18"/>
                <w:b w:val="1"/>
                <w:bCs w:val="1"/>
                <w:color w:val="FFFFFE"/>
              </w:rPr>
              <w:t>Maximum Cash Incentive</w:t>
            </w:r>
          </w:p>
        </w:tc>
      </w:tr>
      <w:tr>
        <w:trPr>
          <w:trHeight w:val="218"/>
        </w:trPr>
        <w:tc>
          <w:tcPr>
            <w:tcW w:w="2720" w:type="dxa"/>
            <w:vAlign w:val="bottom"/>
            <w:tcBorders>
              <w:left w:val="single" w:sz="8" w:color="auto"/>
            </w:tcBorders>
            <w:shd w:val="clear" w:color="auto" w:fill="00529B"/>
          </w:tcPr>
          <w:p>
            <w:pPr>
              <w:spacing w:after="0"/>
              <w:rPr>
                <w:sz w:val="18"/>
                <w:szCs w:val="18"/>
                <w:color w:val="auto"/>
              </w:rPr>
            </w:pPr>
          </w:p>
        </w:tc>
        <w:tc>
          <w:tcPr>
            <w:tcW w:w="4040" w:type="dxa"/>
            <w:vAlign w:val="bottom"/>
            <w:tcBorders>
              <w:right w:val="single" w:sz="8" w:color="00529B"/>
            </w:tcBorders>
            <w:shd w:val="clear" w:color="auto" w:fill="00529B"/>
          </w:tcPr>
          <w:p>
            <w:pPr>
              <w:spacing w:after="0"/>
              <w:rPr>
                <w:sz w:val="18"/>
                <w:szCs w:val="18"/>
                <w:color w:val="auto"/>
              </w:rPr>
            </w:pPr>
          </w:p>
        </w:tc>
      </w:tr>
      <w:tr>
        <w:trPr>
          <w:trHeight w:val="216"/>
        </w:trPr>
        <w:tc>
          <w:tcPr>
            <w:tcW w:w="2720" w:type="dxa"/>
            <w:vAlign w:val="bottom"/>
            <w:tcBorders>
              <w:left w:val="single" w:sz="8" w:color="auto"/>
            </w:tcBorders>
          </w:tcPr>
          <w:p>
            <w:pPr>
              <w:ind w:left="320"/>
              <w:spacing w:after="0"/>
              <w:rPr>
                <w:sz w:val="20"/>
                <w:szCs w:val="20"/>
                <w:color w:val="auto"/>
              </w:rPr>
            </w:pPr>
            <w:r>
              <w:rPr>
                <w:rFonts w:ascii="Arial" w:cs="Arial" w:eastAsia="Arial" w:hAnsi="Arial"/>
                <w:sz w:val="18"/>
                <w:szCs w:val="18"/>
                <w:b w:val="1"/>
                <w:bCs w:val="1"/>
                <w:color w:val="auto"/>
              </w:rPr>
              <w:t>Kasbar</w:t>
            </w:r>
          </w:p>
        </w:tc>
        <w:tc>
          <w:tcPr>
            <w:tcW w:w="4040" w:type="dxa"/>
            <w:vAlign w:val="bottom"/>
            <w:tcBorders>
              <w:right w:val="single" w:sz="8" w:color="auto"/>
            </w:tcBorders>
          </w:tcPr>
          <w:p>
            <w:pPr>
              <w:jc w:val="right"/>
              <w:ind w:right="172"/>
              <w:spacing w:after="0"/>
              <w:rPr>
                <w:sz w:val="20"/>
                <w:szCs w:val="20"/>
                <w:color w:val="auto"/>
              </w:rPr>
            </w:pPr>
            <w:r>
              <w:rPr>
                <w:rFonts w:ascii="Arial" w:cs="Arial" w:eastAsia="Arial" w:hAnsi="Arial"/>
                <w:sz w:val="18"/>
                <w:szCs w:val="18"/>
                <w:color w:val="auto"/>
              </w:rPr>
              <w:t>$  750,000</w:t>
            </w:r>
          </w:p>
        </w:tc>
      </w:tr>
      <w:tr>
        <w:trPr>
          <w:trHeight w:val="216"/>
        </w:trPr>
        <w:tc>
          <w:tcPr>
            <w:tcW w:w="2720" w:type="dxa"/>
            <w:vAlign w:val="bottom"/>
            <w:tcBorders>
              <w:left w:val="single" w:sz="8" w:color="auto"/>
            </w:tcBorders>
            <w:shd w:val="clear" w:color="auto" w:fill="DFE3F1"/>
          </w:tcPr>
          <w:p>
            <w:pPr>
              <w:ind w:left="320"/>
              <w:spacing w:after="0"/>
              <w:rPr>
                <w:sz w:val="20"/>
                <w:szCs w:val="20"/>
                <w:color w:val="auto"/>
              </w:rPr>
            </w:pPr>
            <w:r>
              <w:rPr>
                <w:rFonts w:ascii="Arial" w:cs="Arial" w:eastAsia="Arial" w:hAnsi="Arial"/>
                <w:sz w:val="18"/>
                <w:szCs w:val="18"/>
                <w:b w:val="1"/>
                <w:bCs w:val="1"/>
                <w:color w:val="auto"/>
              </w:rPr>
              <w:t>Birns</w:t>
            </w:r>
          </w:p>
        </w:tc>
        <w:tc>
          <w:tcPr>
            <w:tcW w:w="4040" w:type="dxa"/>
            <w:vAlign w:val="bottom"/>
            <w:tcBorders>
              <w:right w:val="single" w:sz="8" w:color="auto"/>
            </w:tcBorders>
            <w:shd w:val="clear" w:color="auto" w:fill="DFE3F1"/>
          </w:tcPr>
          <w:p>
            <w:pPr>
              <w:jc w:val="right"/>
              <w:ind w:right="172"/>
              <w:spacing w:after="0"/>
              <w:rPr>
                <w:sz w:val="20"/>
                <w:szCs w:val="20"/>
                <w:color w:val="auto"/>
              </w:rPr>
            </w:pPr>
            <w:r>
              <w:rPr>
                <w:rFonts w:ascii="Arial" w:cs="Arial" w:eastAsia="Arial" w:hAnsi="Arial"/>
                <w:sz w:val="18"/>
                <w:szCs w:val="18"/>
                <w:color w:val="auto"/>
              </w:rPr>
              <w:t>300,000</w:t>
            </w:r>
          </w:p>
        </w:tc>
      </w:tr>
      <w:tr>
        <w:trPr>
          <w:trHeight w:val="216"/>
        </w:trPr>
        <w:tc>
          <w:tcPr>
            <w:tcW w:w="2720" w:type="dxa"/>
            <w:vAlign w:val="bottom"/>
            <w:tcBorders>
              <w:left w:val="single" w:sz="8" w:color="auto"/>
            </w:tcBorders>
          </w:tcPr>
          <w:p>
            <w:pPr>
              <w:ind w:left="320"/>
              <w:spacing w:after="0"/>
              <w:rPr>
                <w:sz w:val="20"/>
                <w:szCs w:val="20"/>
                <w:color w:val="auto"/>
              </w:rPr>
            </w:pPr>
            <w:r>
              <w:rPr>
                <w:rFonts w:ascii="Arial" w:cs="Arial" w:eastAsia="Arial" w:hAnsi="Arial"/>
                <w:sz w:val="18"/>
                <w:szCs w:val="18"/>
                <w:b w:val="1"/>
                <w:bCs w:val="1"/>
                <w:color w:val="auto"/>
              </w:rPr>
              <w:t>Smith</w:t>
            </w:r>
          </w:p>
        </w:tc>
        <w:tc>
          <w:tcPr>
            <w:tcW w:w="4040" w:type="dxa"/>
            <w:vAlign w:val="bottom"/>
            <w:tcBorders>
              <w:right w:val="single" w:sz="8" w:color="auto"/>
            </w:tcBorders>
          </w:tcPr>
          <w:p>
            <w:pPr>
              <w:jc w:val="right"/>
              <w:ind w:right="172"/>
              <w:spacing w:after="0"/>
              <w:rPr>
                <w:sz w:val="20"/>
                <w:szCs w:val="20"/>
                <w:color w:val="auto"/>
              </w:rPr>
            </w:pPr>
            <w:r>
              <w:rPr>
                <w:rFonts w:ascii="Arial" w:cs="Arial" w:eastAsia="Arial" w:hAnsi="Arial"/>
                <w:sz w:val="18"/>
                <w:szCs w:val="18"/>
                <w:color w:val="auto"/>
              </w:rPr>
              <w:t>300,000</w:t>
            </w:r>
          </w:p>
        </w:tc>
      </w:tr>
      <w:tr>
        <w:trPr>
          <w:trHeight w:val="216"/>
        </w:trPr>
        <w:tc>
          <w:tcPr>
            <w:tcW w:w="2720" w:type="dxa"/>
            <w:vAlign w:val="bottom"/>
            <w:tcBorders>
              <w:left w:val="single" w:sz="8" w:color="auto"/>
            </w:tcBorders>
            <w:shd w:val="clear" w:color="auto" w:fill="DFE3F1"/>
          </w:tcPr>
          <w:p>
            <w:pPr>
              <w:ind w:left="320"/>
              <w:spacing w:after="0"/>
              <w:rPr>
                <w:sz w:val="20"/>
                <w:szCs w:val="20"/>
                <w:color w:val="auto"/>
              </w:rPr>
            </w:pPr>
            <w:r>
              <w:rPr>
                <w:rFonts w:ascii="Arial" w:cs="Arial" w:eastAsia="Arial" w:hAnsi="Arial"/>
                <w:sz w:val="18"/>
                <w:szCs w:val="18"/>
                <w:b w:val="1"/>
                <w:bCs w:val="1"/>
                <w:color w:val="auto"/>
              </w:rPr>
              <w:t>Crosby</w:t>
            </w:r>
          </w:p>
        </w:tc>
        <w:tc>
          <w:tcPr>
            <w:tcW w:w="4040" w:type="dxa"/>
            <w:vAlign w:val="bottom"/>
            <w:tcBorders>
              <w:right w:val="single" w:sz="8" w:color="auto"/>
            </w:tcBorders>
            <w:shd w:val="clear" w:color="auto" w:fill="DFE3F1"/>
          </w:tcPr>
          <w:p>
            <w:pPr>
              <w:jc w:val="right"/>
              <w:ind w:right="172"/>
              <w:spacing w:after="0"/>
              <w:rPr>
                <w:sz w:val="20"/>
                <w:szCs w:val="20"/>
                <w:color w:val="auto"/>
              </w:rPr>
            </w:pPr>
            <w:r>
              <w:rPr>
                <w:rFonts w:ascii="Arial" w:cs="Arial" w:eastAsia="Arial" w:hAnsi="Arial"/>
                <w:sz w:val="18"/>
                <w:szCs w:val="18"/>
                <w:color w:val="auto"/>
              </w:rPr>
              <w:t>150,000</w:t>
            </w:r>
          </w:p>
        </w:tc>
      </w:tr>
      <w:tr>
        <w:trPr>
          <w:trHeight w:val="236"/>
        </w:trPr>
        <w:tc>
          <w:tcPr>
            <w:tcW w:w="2720" w:type="dxa"/>
            <w:vAlign w:val="bottom"/>
            <w:tcBorders>
              <w:left w:val="single" w:sz="8" w:color="auto"/>
              <w:bottom w:val="single" w:sz="8" w:color="0048E0"/>
            </w:tcBorders>
          </w:tcPr>
          <w:p>
            <w:pPr>
              <w:ind w:left="320"/>
              <w:spacing w:after="0"/>
              <w:rPr>
                <w:sz w:val="20"/>
                <w:szCs w:val="20"/>
                <w:color w:val="auto"/>
              </w:rPr>
            </w:pPr>
            <w:r>
              <w:rPr>
                <w:rFonts w:ascii="Arial" w:cs="Arial" w:eastAsia="Arial" w:hAnsi="Arial"/>
                <w:sz w:val="18"/>
                <w:szCs w:val="18"/>
                <w:b w:val="1"/>
                <w:bCs w:val="1"/>
                <w:color w:val="auto"/>
              </w:rPr>
              <w:t>Rau</w:t>
            </w:r>
          </w:p>
        </w:tc>
        <w:tc>
          <w:tcPr>
            <w:tcW w:w="4040" w:type="dxa"/>
            <w:vAlign w:val="bottom"/>
            <w:tcBorders>
              <w:bottom w:val="single" w:sz="8" w:color="0048E0"/>
              <w:right w:val="single" w:sz="8" w:color="auto"/>
            </w:tcBorders>
          </w:tcPr>
          <w:p>
            <w:pPr>
              <w:jc w:val="right"/>
              <w:ind w:right="172"/>
              <w:spacing w:after="0"/>
              <w:rPr>
                <w:sz w:val="20"/>
                <w:szCs w:val="20"/>
                <w:color w:val="auto"/>
              </w:rPr>
            </w:pPr>
            <w:r>
              <w:rPr>
                <w:rFonts w:ascii="Arial" w:cs="Arial" w:eastAsia="Arial" w:hAnsi="Arial"/>
                <w:sz w:val="18"/>
                <w:szCs w:val="18"/>
                <w:color w:val="auto"/>
              </w:rPr>
              <w:t>150,000</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Long-Term Incentive Program</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0048E0"/>
        </w:rPr>
        <w:t>Performance-Based Share Plan</w:t>
      </w:r>
    </w:p>
    <w:p>
      <w:pPr>
        <w:spacing w:after="0" w:line="225" w:lineRule="exact"/>
        <w:rPr>
          <w:sz w:val="20"/>
          <w:szCs w:val="20"/>
          <w:color w:val="auto"/>
        </w:rPr>
      </w:pPr>
    </w:p>
    <w:p>
      <w:pPr>
        <w:ind w:right="20" w:firstLine="605"/>
        <w:spacing w:after="0" w:line="283" w:lineRule="auto"/>
        <w:rPr>
          <w:sz w:val="20"/>
          <w:szCs w:val="20"/>
          <w:color w:val="auto"/>
        </w:rPr>
      </w:pPr>
      <w:r>
        <w:rPr>
          <w:rFonts w:ascii="Arial" w:cs="Arial" w:eastAsia="Arial" w:hAnsi="Arial"/>
          <w:sz w:val="16"/>
          <w:szCs w:val="16"/>
          <w:color w:val="auto"/>
        </w:rPr>
        <w:t>As discussed above, the Committee utilized the PSP equity award in 2019 based on the achievement of EPS Growth during the three-year performance period, as modified by our ROIC, in order to incentivize long-term growth. Under the PSP, executives are granted an opportunity each year to earn a fixed-dollar target award of equity (the "PSP Opportunity") which is issued at the beginning of a three-year performance period. The PSP Opportunity can be earned based on the achievement of a specified level of EPS Growth, as modified by our ROIC, for the three-year performance period beginning January 1st of the first year of the performance period and ending on December 31st of the</w:t>
      </w:r>
    </w:p>
    <w:p>
      <w:pPr>
        <w:spacing w:after="0" w:line="2"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third year of the performance period. The corresponding payout for the level of EPS Growth achieved will then be modified upwards or downwards within a specified range based on our ROIC over the same three-year performance period.</w:t>
      </w:r>
    </w:p>
    <w:p>
      <w:pPr>
        <w:spacing w:after="0" w:line="186" w:lineRule="exact"/>
        <w:rPr>
          <w:sz w:val="20"/>
          <w:szCs w:val="20"/>
          <w:color w:val="auto"/>
        </w:rPr>
      </w:pPr>
    </w:p>
    <w:p>
      <w:pPr>
        <w:ind w:right="40" w:firstLine="611"/>
        <w:spacing w:after="0" w:line="317" w:lineRule="auto"/>
        <w:rPr>
          <w:sz w:val="20"/>
          <w:szCs w:val="20"/>
          <w:color w:val="auto"/>
        </w:rPr>
      </w:pPr>
      <w:r>
        <w:rPr>
          <w:rFonts w:ascii="Arial" w:cs="Arial" w:eastAsia="Arial" w:hAnsi="Arial"/>
          <w:sz w:val="15"/>
          <w:szCs w:val="15"/>
          <w:color w:val="auto"/>
        </w:rPr>
        <w:t>The PSP award is designed to provide our executives with appropriate incentives to balance the objectives of maximizing earnings with a minimum amount of dilution, while at the same time ensuring an effective use of our capital resources. Once a three-year performance metric is set, it cannot be changed. At the beginning of the year following the end of the three-year performance period, the Committee will determine the level of EPS Growth achieved based on our financial results, and the corresponding payout will then be modified upwards or downwards within the specified range based on our ROIC percentage for the same three-year performance period. The executive will thereafter be delivered any earned equity in March of the year following the performance period.</w:t>
      </w:r>
    </w:p>
    <w:p>
      <w:pPr>
        <w:spacing w:after="0" w:line="157" w:lineRule="exact"/>
        <w:rPr>
          <w:sz w:val="20"/>
          <w:szCs w:val="20"/>
          <w:color w:val="auto"/>
        </w:rPr>
      </w:pPr>
    </w:p>
    <w:p>
      <w:pPr>
        <w:ind w:right="20" w:firstLine="614"/>
        <w:spacing w:after="0" w:line="290" w:lineRule="auto"/>
        <w:rPr>
          <w:sz w:val="20"/>
          <w:szCs w:val="20"/>
          <w:color w:val="auto"/>
        </w:rPr>
      </w:pPr>
      <w:r>
        <w:rPr>
          <w:rFonts w:ascii="Arial" w:cs="Arial" w:eastAsia="Arial" w:hAnsi="Arial"/>
          <w:sz w:val="16"/>
          <w:szCs w:val="16"/>
          <w:color w:val="auto"/>
        </w:rPr>
        <w:t>Similar to 2018, the Committee utilized Performance SSARs in 2019 rather than RSUs. The exercise price of the Performance SSARs was set at $29.68 per share, which was the closing stock price on the grant date. The PSP Opportunity was then divided by the fair value of the Performance SSAR on the date of the award (based on Black Scholes) to calculate the number of SSARs to be issued. The Committee determined the threshold, target, excellence and maximum EPS Growth performance levels for the three-year performance period commencing on January 1, 2019 and ending on December 31, 2021, as modified by our ROIC over that period, based on our internal targets, with the maximum performance set at a level that could only be attained when applicable results are exceptional and justify the higher bonus payout. Once earned, the applicable number of earned Performance SSARs would vest in March 2022, the third anniversary of the grant date, and expire in March 2024, the fifth anniversary of the grant date.</w:t>
      </w:r>
    </w:p>
    <w:p>
      <w:pPr>
        <w:spacing w:after="0" w:line="172"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The Committee believes that this layering approach to long-term equity (1) is consistent with the practices of our compensation comparison companies and the broader market and (2) provides executives a consistent and continuous incentive to focus on our long-term growth in EPS and to share in increases in our market value, while maintaining effective use of our capital resources. For 2019, the PSP Opportunity and the target number of Performance SSARs granted by the Committee to each of our NEOs is set forth below.</w:t>
      </w:r>
    </w:p>
    <w:p>
      <w:pPr>
        <w:spacing w:after="0" w:line="205" w:lineRule="exact"/>
        <w:rPr>
          <w:sz w:val="20"/>
          <w:szCs w:val="20"/>
          <w:color w:val="auto"/>
        </w:rPr>
      </w:pPr>
    </w:p>
    <w:tbl>
      <w:tblPr>
        <w:tblLayout w:type="fixed"/>
        <w:tblInd w:w="2250" w:type="dxa"/>
        <w:tblCellMar>
          <w:top w:w="0" w:type="dxa"/>
          <w:left w:w="0" w:type="dxa"/>
          <w:bottom w:w="0" w:type="dxa"/>
          <w:right w:w="0" w:type="dxa"/>
        </w:tblCellMar>
      </w:tblPr>
      <w:tr>
        <w:trPr>
          <w:trHeight w:val="216"/>
        </w:trPr>
        <w:tc>
          <w:tcPr>
            <w:tcW w:w="1880" w:type="dxa"/>
            <w:vAlign w:val="bottom"/>
            <w:tcBorders>
              <w:left w:val="single" w:sz="8" w:color="auto"/>
            </w:tcBorders>
            <w:shd w:val="clear" w:color="auto" w:fill="00529B"/>
          </w:tcPr>
          <w:p>
            <w:pPr>
              <w:spacing w:after="0"/>
              <w:rPr>
                <w:sz w:val="18"/>
                <w:szCs w:val="18"/>
                <w:color w:val="auto"/>
              </w:rPr>
            </w:pPr>
          </w:p>
        </w:tc>
        <w:tc>
          <w:tcPr>
            <w:tcW w:w="4880" w:type="dxa"/>
            <w:vAlign w:val="bottom"/>
            <w:tcBorders>
              <w:right w:val="single" w:sz="8" w:color="auto"/>
            </w:tcBorders>
            <w:gridSpan w:val="2"/>
            <w:shd w:val="clear" w:color="auto" w:fill="00529B"/>
          </w:tcPr>
          <w:p>
            <w:pPr>
              <w:ind w:left="1880"/>
              <w:spacing w:after="0"/>
              <w:rPr>
                <w:sz w:val="20"/>
                <w:szCs w:val="20"/>
                <w:color w:val="auto"/>
              </w:rPr>
            </w:pPr>
            <w:r>
              <w:rPr>
                <w:rFonts w:ascii="Arial" w:cs="Arial" w:eastAsia="Arial" w:hAnsi="Arial"/>
                <w:sz w:val="18"/>
                <w:szCs w:val="18"/>
                <w:b w:val="1"/>
                <w:bCs w:val="1"/>
                <w:color w:val="FFFFFE"/>
              </w:rPr>
              <w:t>Performance SSARs</w:t>
            </w:r>
          </w:p>
        </w:tc>
      </w:tr>
      <w:tr>
        <w:trPr>
          <w:trHeight w:val="230"/>
        </w:trPr>
        <w:tc>
          <w:tcPr>
            <w:tcW w:w="1880" w:type="dxa"/>
            <w:vAlign w:val="bottom"/>
            <w:tcBorders>
              <w:left w:val="single" w:sz="8" w:color="auto"/>
            </w:tcBorders>
            <w:shd w:val="clear" w:color="auto" w:fill="00529B"/>
          </w:tcPr>
          <w:p>
            <w:pPr>
              <w:ind w:left="460"/>
              <w:spacing w:after="0"/>
              <w:rPr>
                <w:sz w:val="20"/>
                <w:szCs w:val="20"/>
                <w:color w:val="auto"/>
              </w:rPr>
            </w:pPr>
            <w:r>
              <w:rPr>
                <w:rFonts w:ascii="Arial" w:cs="Arial" w:eastAsia="Arial" w:hAnsi="Arial"/>
                <w:sz w:val="18"/>
                <w:szCs w:val="18"/>
                <w:b w:val="1"/>
                <w:bCs w:val="1"/>
                <w:color w:val="FFFFFE"/>
              </w:rPr>
              <w:t>NEO</w:t>
            </w:r>
          </w:p>
        </w:tc>
        <w:tc>
          <w:tcPr>
            <w:tcW w:w="2540" w:type="dxa"/>
            <w:vAlign w:val="bottom"/>
            <w:shd w:val="clear" w:color="auto" w:fill="00529B"/>
          </w:tcPr>
          <w:p>
            <w:pPr>
              <w:jc w:val="center"/>
              <w:ind w:left="472"/>
              <w:spacing w:after="0"/>
              <w:rPr>
                <w:sz w:val="20"/>
                <w:szCs w:val="20"/>
                <w:color w:val="auto"/>
              </w:rPr>
            </w:pPr>
            <w:r>
              <w:rPr>
                <w:rFonts w:ascii="Arial" w:cs="Arial" w:eastAsia="Arial" w:hAnsi="Arial"/>
                <w:sz w:val="18"/>
                <w:szCs w:val="18"/>
                <w:b w:val="1"/>
                <w:bCs w:val="1"/>
                <w:color w:val="FFFFFE"/>
                <w:w w:val="90"/>
              </w:rPr>
              <w:t>Target Grant Date</w:t>
            </w:r>
          </w:p>
        </w:tc>
        <w:tc>
          <w:tcPr>
            <w:tcW w:w="2340" w:type="dxa"/>
            <w:vAlign w:val="bottom"/>
            <w:tcBorders>
              <w:right w:val="single" w:sz="8" w:color="auto"/>
            </w:tcBorders>
            <w:shd w:val="clear" w:color="auto" w:fill="00529B"/>
          </w:tcPr>
          <w:p>
            <w:pPr>
              <w:jc w:val="center"/>
              <w:spacing w:after="0"/>
              <w:rPr>
                <w:sz w:val="20"/>
                <w:szCs w:val="20"/>
                <w:color w:val="auto"/>
              </w:rPr>
            </w:pPr>
            <w:r>
              <w:rPr>
                <w:rFonts w:ascii="Arial" w:cs="Arial" w:eastAsia="Arial" w:hAnsi="Arial"/>
                <w:sz w:val="18"/>
                <w:szCs w:val="18"/>
                <w:b w:val="1"/>
                <w:bCs w:val="1"/>
                <w:color w:val="FFFFFE"/>
                <w:w w:val="90"/>
              </w:rPr>
              <w:t>Target Number</w:t>
            </w:r>
          </w:p>
        </w:tc>
      </w:tr>
      <w:tr>
        <w:trPr>
          <w:trHeight w:val="216"/>
        </w:trPr>
        <w:tc>
          <w:tcPr>
            <w:tcW w:w="1880" w:type="dxa"/>
            <w:vAlign w:val="bottom"/>
            <w:tcBorders>
              <w:left w:val="single" w:sz="8" w:color="auto"/>
            </w:tcBorders>
            <w:shd w:val="clear" w:color="auto" w:fill="00529B"/>
          </w:tcPr>
          <w:p>
            <w:pPr>
              <w:spacing w:after="0"/>
              <w:rPr>
                <w:sz w:val="18"/>
                <w:szCs w:val="18"/>
                <w:color w:val="auto"/>
              </w:rPr>
            </w:pPr>
          </w:p>
        </w:tc>
        <w:tc>
          <w:tcPr>
            <w:tcW w:w="2540" w:type="dxa"/>
            <w:vAlign w:val="bottom"/>
            <w:shd w:val="clear" w:color="auto" w:fill="00529B"/>
          </w:tcPr>
          <w:p>
            <w:pPr>
              <w:jc w:val="center"/>
              <w:ind w:left="472"/>
              <w:spacing w:after="0"/>
              <w:rPr>
                <w:sz w:val="20"/>
                <w:szCs w:val="20"/>
                <w:color w:val="auto"/>
              </w:rPr>
            </w:pPr>
            <w:r>
              <w:rPr>
                <w:rFonts w:ascii="Arial" w:cs="Arial" w:eastAsia="Arial" w:hAnsi="Arial"/>
                <w:sz w:val="18"/>
                <w:szCs w:val="18"/>
                <w:b w:val="1"/>
                <w:bCs w:val="1"/>
                <w:color w:val="FFFFFE"/>
                <w:w w:val="90"/>
              </w:rPr>
              <w:t>Dollar Value</w:t>
            </w:r>
          </w:p>
        </w:tc>
        <w:tc>
          <w:tcPr>
            <w:tcW w:w="2340" w:type="dxa"/>
            <w:vAlign w:val="bottom"/>
            <w:tcBorders>
              <w:right w:val="single" w:sz="8" w:color="auto"/>
            </w:tcBorders>
            <w:shd w:val="clear" w:color="auto" w:fill="00529B"/>
          </w:tcPr>
          <w:p>
            <w:pPr>
              <w:jc w:val="center"/>
              <w:spacing w:after="0"/>
              <w:rPr>
                <w:sz w:val="20"/>
                <w:szCs w:val="20"/>
                <w:color w:val="auto"/>
              </w:rPr>
            </w:pPr>
            <w:r>
              <w:rPr>
                <w:rFonts w:ascii="Arial" w:cs="Arial" w:eastAsia="Arial" w:hAnsi="Arial"/>
                <w:sz w:val="18"/>
                <w:szCs w:val="18"/>
                <w:b w:val="1"/>
                <w:bCs w:val="1"/>
                <w:color w:val="FFFFFE"/>
                <w:w w:val="87"/>
              </w:rPr>
              <w:t>of Performance SSARs</w:t>
            </w:r>
          </w:p>
        </w:tc>
      </w:tr>
      <w:tr>
        <w:trPr>
          <w:trHeight w:val="216"/>
        </w:trPr>
        <w:tc>
          <w:tcPr>
            <w:tcW w:w="1880" w:type="dxa"/>
            <w:vAlign w:val="bottom"/>
            <w:tcBorders>
              <w:left w:val="single" w:sz="8" w:color="auto"/>
            </w:tcBorders>
          </w:tcPr>
          <w:p>
            <w:pPr>
              <w:ind w:left="460"/>
              <w:spacing w:after="0"/>
              <w:rPr>
                <w:sz w:val="20"/>
                <w:szCs w:val="20"/>
                <w:color w:val="auto"/>
              </w:rPr>
            </w:pPr>
            <w:r>
              <w:rPr>
                <w:rFonts w:ascii="Arial" w:cs="Arial" w:eastAsia="Arial" w:hAnsi="Arial"/>
                <w:sz w:val="18"/>
                <w:szCs w:val="18"/>
                <w:b w:val="1"/>
                <w:bCs w:val="1"/>
                <w:color w:val="auto"/>
              </w:rPr>
              <w:t>Kasbar</w:t>
            </w:r>
          </w:p>
        </w:tc>
        <w:tc>
          <w:tcPr>
            <w:tcW w:w="2540" w:type="dxa"/>
            <w:vAlign w:val="bottom"/>
          </w:tcPr>
          <w:p>
            <w:pPr>
              <w:jc w:val="center"/>
              <w:ind w:left="452"/>
              <w:spacing w:after="0"/>
              <w:rPr>
                <w:sz w:val="20"/>
                <w:szCs w:val="20"/>
                <w:color w:val="auto"/>
              </w:rPr>
            </w:pPr>
            <w:r>
              <w:rPr>
                <w:rFonts w:ascii="Arial" w:cs="Arial" w:eastAsia="Arial" w:hAnsi="Arial"/>
                <w:sz w:val="18"/>
                <w:szCs w:val="18"/>
                <w:color w:val="auto"/>
                <w:w w:val="91"/>
              </w:rPr>
              <w:t>$  1,000,000</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109,290</w:t>
            </w:r>
          </w:p>
        </w:tc>
      </w:tr>
      <w:tr>
        <w:trPr>
          <w:trHeight w:val="216"/>
        </w:trPr>
        <w:tc>
          <w:tcPr>
            <w:tcW w:w="1880" w:type="dxa"/>
            <w:vAlign w:val="bottom"/>
            <w:tcBorders>
              <w:left w:val="single" w:sz="8" w:color="auto"/>
            </w:tcBorders>
            <w:shd w:val="clear" w:color="auto" w:fill="DFE3F1"/>
          </w:tcPr>
          <w:p>
            <w:pPr>
              <w:ind w:left="460"/>
              <w:spacing w:after="0"/>
              <w:rPr>
                <w:sz w:val="20"/>
                <w:szCs w:val="20"/>
                <w:color w:val="auto"/>
              </w:rPr>
            </w:pPr>
            <w:r>
              <w:rPr>
                <w:rFonts w:ascii="Arial" w:cs="Arial" w:eastAsia="Arial" w:hAnsi="Arial"/>
                <w:sz w:val="18"/>
                <w:szCs w:val="18"/>
                <w:b w:val="1"/>
                <w:bCs w:val="1"/>
                <w:color w:val="auto"/>
              </w:rPr>
              <w:t>Birns</w:t>
            </w:r>
          </w:p>
        </w:tc>
        <w:tc>
          <w:tcPr>
            <w:tcW w:w="2540" w:type="dxa"/>
            <w:vAlign w:val="bottom"/>
            <w:shd w:val="clear" w:color="auto" w:fill="DFE3F1"/>
          </w:tcPr>
          <w:p>
            <w:pPr>
              <w:jc w:val="right"/>
              <w:ind w:right="512"/>
              <w:spacing w:after="0"/>
              <w:rPr>
                <w:sz w:val="20"/>
                <w:szCs w:val="20"/>
                <w:color w:val="auto"/>
              </w:rPr>
            </w:pPr>
            <w:r>
              <w:rPr>
                <w:rFonts w:ascii="Arial" w:cs="Arial" w:eastAsia="Arial" w:hAnsi="Arial"/>
                <w:sz w:val="18"/>
                <w:szCs w:val="18"/>
                <w:color w:val="auto"/>
              </w:rPr>
              <w:t>500,000</w:t>
            </w:r>
          </w:p>
        </w:tc>
        <w:tc>
          <w:tcPr>
            <w:tcW w:w="2340" w:type="dxa"/>
            <w:vAlign w:val="bottom"/>
            <w:tcBorders>
              <w:right w:val="single" w:sz="8" w:color="auto"/>
            </w:tcBorders>
            <w:shd w:val="clear" w:color="auto" w:fill="DFE3F1"/>
          </w:tcPr>
          <w:p>
            <w:pPr>
              <w:jc w:val="center"/>
              <w:spacing w:after="0"/>
              <w:rPr>
                <w:sz w:val="20"/>
                <w:szCs w:val="20"/>
                <w:color w:val="auto"/>
              </w:rPr>
            </w:pPr>
            <w:r>
              <w:rPr>
                <w:rFonts w:ascii="Arial" w:cs="Arial" w:eastAsia="Arial" w:hAnsi="Arial"/>
                <w:sz w:val="18"/>
                <w:szCs w:val="18"/>
                <w:color w:val="auto"/>
                <w:w w:val="87"/>
              </w:rPr>
              <w:t>54,645</w:t>
            </w:r>
          </w:p>
        </w:tc>
      </w:tr>
      <w:tr>
        <w:trPr>
          <w:trHeight w:val="216"/>
        </w:trPr>
        <w:tc>
          <w:tcPr>
            <w:tcW w:w="1880" w:type="dxa"/>
            <w:vAlign w:val="bottom"/>
            <w:tcBorders>
              <w:left w:val="single" w:sz="8" w:color="auto"/>
            </w:tcBorders>
          </w:tcPr>
          <w:p>
            <w:pPr>
              <w:ind w:left="460"/>
              <w:spacing w:after="0"/>
              <w:rPr>
                <w:sz w:val="20"/>
                <w:szCs w:val="20"/>
                <w:color w:val="auto"/>
              </w:rPr>
            </w:pPr>
            <w:r>
              <w:rPr>
                <w:rFonts w:ascii="Arial" w:cs="Arial" w:eastAsia="Arial" w:hAnsi="Arial"/>
                <w:sz w:val="18"/>
                <w:szCs w:val="18"/>
                <w:b w:val="1"/>
                <w:bCs w:val="1"/>
                <w:color w:val="auto"/>
              </w:rPr>
              <w:t>Smith</w:t>
            </w:r>
          </w:p>
        </w:tc>
        <w:tc>
          <w:tcPr>
            <w:tcW w:w="2540" w:type="dxa"/>
            <w:vAlign w:val="bottom"/>
          </w:tcPr>
          <w:p>
            <w:pPr>
              <w:jc w:val="right"/>
              <w:ind w:right="512"/>
              <w:spacing w:after="0"/>
              <w:rPr>
                <w:sz w:val="20"/>
                <w:szCs w:val="20"/>
                <w:color w:val="auto"/>
              </w:rPr>
            </w:pPr>
            <w:r>
              <w:rPr>
                <w:rFonts w:ascii="Arial" w:cs="Arial" w:eastAsia="Arial" w:hAnsi="Arial"/>
                <w:sz w:val="18"/>
                <w:szCs w:val="18"/>
                <w:color w:val="auto"/>
              </w:rPr>
              <w:t>500,000</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54,645</w:t>
            </w:r>
          </w:p>
        </w:tc>
      </w:tr>
      <w:tr>
        <w:trPr>
          <w:trHeight w:val="216"/>
        </w:trPr>
        <w:tc>
          <w:tcPr>
            <w:tcW w:w="1880" w:type="dxa"/>
            <w:vAlign w:val="bottom"/>
            <w:tcBorders>
              <w:left w:val="single" w:sz="8" w:color="auto"/>
            </w:tcBorders>
            <w:shd w:val="clear" w:color="auto" w:fill="DFE3F1"/>
          </w:tcPr>
          <w:p>
            <w:pPr>
              <w:ind w:left="460"/>
              <w:spacing w:after="0"/>
              <w:rPr>
                <w:sz w:val="20"/>
                <w:szCs w:val="20"/>
                <w:color w:val="auto"/>
              </w:rPr>
            </w:pPr>
            <w:r>
              <w:rPr>
                <w:rFonts w:ascii="Arial" w:cs="Arial" w:eastAsia="Arial" w:hAnsi="Arial"/>
                <w:sz w:val="18"/>
                <w:szCs w:val="18"/>
                <w:b w:val="1"/>
                <w:bCs w:val="1"/>
                <w:color w:val="auto"/>
              </w:rPr>
              <w:t>Crosby</w:t>
            </w:r>
          </w:p>
        </w:tc>
        <w:tc>
          <w:tcPr>
            <w:tcW w:w="2540" w:type="dxa"/>
            <w:vAlign w:val="bottom"/>
            <w:shd w:val="clear" w:color="auto" w:fill="DFE3F1"/>
          </w:tcPr>
          <w:p>
            <w:pPr>
              <w:jc w:val="right"/>
              <w:ind w:right="512"/>
              <w:spacing w:after="0"/>
              <w:rPr>
                <w:sz w:val="20"/>
                <w:szCs w:val="20"/>
                <w:color w:val="auto"/>
              </w:rPr>
            </w:pPr>
            <w:r>
              <w:rPr>
                <w:rFonts w:ascii="Arial" w:cs="Arial" w:eastAsia="Arial" w:hAnsi="Arial"/>
                <w:sz w:val="18"/>
                <w:szCs w:val="18"/>
                <w:color w:val="auto"/>
              </w:rPr>
              <w:t>300,000</w:t>
            </w:r>
          </w:p>
        </w:tc>
        <w:tc>
          <w:tcPr>
            <w:tcW w:w="2340" w:type="dxa"/>
            <w:vAlign w:val="bottom"/>
            <w:tcBorders>
              <w:right w:val="single" w:sz="8" w:color="auto"/>
            </w:tcBorders>
            <w:shd w:val="clear" w:color="auto" w:fill="DFE3F1"/>
          </w:tcPr>
          <w:p>
            <w:pPr>
              <w:jc w:val="center"/>
              <w:spacing w:after="0"/>
              <w:rPr>
                <w:sz w:val="20"/>
                <w:szCs w:val="20"/>
                <w:color w:val="auto"/>
              </w:rPr>
            </w:pPr>
            <w:r>
              <w:rPr>
                <w:rFonts w:ascii="Arial" w:cs="Arial" w:eastAsia="Arial" w:hAnsi="Arial"/>
                <w:sz w:val="18"/>
                <w:szCs w:val="18"/>
                <w:color w:val="auto"/>
                <w:w w:val="87"/>
              </w:rPr>
              <w:t>32,787</w:t>
            </w:r>
          </w:p>
        </w:tc>
      </w:tr>
      <w:tr>
        <w:trPr>
          <w:trHeight w:val="236"/>
        </w:trPr>
        <w:tc>
          <w:tcPr>
            <w:tcW w:w="1880" w:type="dxa"/>
            <w:vAlign w:val="bottom"/>
            <w:tcBorders>
              <w:left w:val="single" w:sz="8" w:color="auto"/>
              <w:bottom w:val="single" w:sz="8" w:color="0048E0"/>
            </w:tcBorders>
          </w:tcPr>
          <w:p>
            <w:pPr>
              <w:ind w:left="460"/>
              <w:spacing w:after="0"/>
              <w:rPr>
                <w:sz w:val="20"/>
                <w:szCs w:val="20"/>
                <w:color w:val="auto"/>
              </w:rPr>
            </w:pPr>
            <w:r>
              <w:rPr>
                <w:rFonts w:ascii="Arial" w:cs="Arial" w:eastAsia="Arial" w:hAnsi="Arial"/>
                <w:sz w:val="18"/>
                <w:szCs w:val="18"/>
                <w:b w:val="1"/>
                <w:bCs w:val="1"/>
                <w:color w:val="auto"/>
              </w:rPr>
              <w:t>Rau</w:t>
            </w:r>
          </w:p>
        </w:tc>
        <w:tc>
          <w:tcPr>
            <w:tcW w:w="2540" w:type="dxa"/>
            <w:vAlign w:val="bottom"/>
            <w:tcBorders>
              <w:bottom w:val="single" w:sz="8" w:color="0048E0"/>
            </w:tcBorders>
          </w:tcPr>
          <w:p>
            <w:pPr>
              <w:jc w:val="right"/>
              <w:ind w:right="512"/>
              <w:spacing w:after="0"/>
              <w:rPr>
                <w:sz w:val="20"/>
                <w:szCs w:val="20"/>
                <w:color w:val="auto"/>
              </w:rPr>
            </w:pPr>
            <w:r>
              <w:rPr>
                <w:rFonts w:ascii="Arial" w:cs="Arial" w:eastAsia="Arial" w:hAnsi="Arial"/>
                <w:sz w:val="18"/>
                <w:szCs w:val="18"/>
                <w:color w:val="auto"/>
              </w:rPr>
              <w:t>300,000</w:t>
            </w:r>
          </w:p>
        </w:tc>
        <w:tc>
          <w:tcPr>
            <w:tcW w:w="2340" w:type="dxa"/>
            <w:vAlign w:val="bottom"/>
            <w:tcBorders>
              <w:bottom w:val="single" w:sz="8" w:color="0048E0"/>
              <w:right w:val="single" w:sz="8" w:color="auto"/>
            </w:tcBorders>
          </w:tcPr>
          <w:p>
            <w:pPr>
              <w:jc w:val="center"/>
              <w:spacing w:after="0"/>
              <w:rPr>
                <w:sz w:val="20"/>
                <w:szCs w:val="20"/>
                <w:color w:val="auto"/>
              </w:rPr>
            </w:pPr>
            <w:r>
              <w:rPr>
                <w:rFonts w:ascii="Arial" w:cs="Arial" w:eastAsia="Arial" w:hAnsi="Arial"/>
                <w:sz w:val="18"/>
                <w:szCs w:val="18"/>
                <w:color w:val="auto"/>
                <w:w w:val="87"/>
              </w:rPr>
              <w:t>32,787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-993775</wp:posOffset>
            </wp:positionV>
            <wp:extent cx="42773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88" w:lineRule="exact"/>
        <w:rPr>
          <w:sz w:val="20"/>
          <w:szCs w:val="20"/>
          <w:color w:val="auto"/>
        </w:rPr>
      </w:pPr>
    </w:p>
    <w:p>
      <w:pPr>
        <w:ind w:right="180" w:firstLine="611"/>
        <w:spacing w:after="0" w:line="259" w:lineRule="auto"/>
        <w:rPr>
          <w:sz w:val="20"/>
          <w:szCs w:val="20"/>
          <w:color w:val="auto"/>
        </w:rPr>
      </w:pPr>
      <w:r>
        <w:rPr>
          <w:rFonts w:ascii="Arial" w:cs="Arial" w:eastAsia="Arial" w:hAnsi="Arial"/>
          <w:sz w:val="18"/>
          <w:szCs w:val="18"/>
          <w:color w:val="auto"/>
        </w:rPr>
        <w:t>The Committee then established the following EPS Growth performance levels. The number of Performance SSARs earned in respect of the level of EPS Growth achieved for the three-year performance period will be adjusted upwards or downwards within the ranges set forth below based on our ROIC percentage for that period:</w:t>
      </w:r>
    </w:p>
    <w:p>
      <w:pPr>
        <w:spacing w:after="0" w:line="197" w:lineRule="exact"/>
        <w:rPr>
          <w:sz w:val="20"/>
          <w:szCs w:val="20"/>
          <w:color w:val="auto"/>
        </w:rPr>
      </w:pPr>
    </w:p>
    <w:tbl>
      <w:tblPr>
        <w:tblLayout w:type="fixed"/>
        <w:tblInd w:w="2250" w:type="dxa"/>
        <w:tblCellMar>
          <w:top w:w="0" w:type="dxa"/>
          <w:left w:w="0" w:type="dxa"/>
          <w:bottom w:w="0" w:type="dxa"/>
          <w:right w:w="0" w:type="dxa"/>
        </w:tblCellMar>
      </w:tblPr>
      <w:tr>
        <w:trPr>
          <w:trHeight w:val="207"/>
        </w:trPr>
        <w:tc>
          <w:tcPr>
            <w:tcW w:w="3500" w:type="dxa"/>
            <w:vAlign w:val="bottom"/>
            <w:tcBorders>
              <w:left w:val="single" w:sz="8" w:color="auto"/>
            </w:tcBorders>
            <w:shd w:val="clear" w:color="auto" w:fill="00529B"/>
          </w:tcPr>
          <w:p>
            <w:pPr>
              <w:ind w:left="260"/>
              <w:spacing w:after="0"/>
              <w:rPr>
                <w:sz w:val="20"/>
                <w:szCs w:val="20"/>
                <w:color w:val="auto"/>
              </w:rPr>
            </w:pPr>
            <w:r>
              <w:rPr>
                <w:rFonts w:ascii="Arial" w:cs="Arial" w:eastAsia="Arial" w:hAnsi="Arial"/>
                <w:sz w:val="18"/>
                <w:szCs w:val="18"/>
                <w:b w:val="1"/>
                <w:bCs w:val="1"/>
                <w:color w:val="FFFFFE"/>
              </w:rPr>
              <w:t>Performance Level</w:t>
            </w:r>
          </w:p>
        </w:tc>
        <w:tc>
          <w:tcPr>
            <w:tcW w:w="3260" w:type="dxa"/>
            <w:vAlign w:val="bottom"/>
            <w:tcBorders>
              <w:right w:val="single" w:sz="8" w:color="auto"/>
            </w:tcBorders>
            <w:gridSpan w:val="2"/>
            <w:shd w:val="clear" w:color="auto" w:fill="00529B"/>
          </w:tcPr>
          <w:p>
            <w:pPr>
              <w:jc w:val="center"/>
              <w:ind w:left="1292"/>
              <w:spacing w:after="0"/>
              <w:rPr>
                <w:sz w:val="20"/>
                <w:szCs w:val="20"/>
                <w:color w:val="auto"/>
              </w:rPr>
            </w:pPr>
            <w:r>
              <w:rPr>
                <w:rFonts w:ascii="Arial" w:cs="Arial" w:eastAsia="Arial" w:hAnsi="Arial"/>
                <w:sz w:val="18"/>
                <w:szCs w:val="18"/>
                <w:b w:val="1"/>
                <w:bCs w:val="1"/>
                <w:color w:val="FFFFFE"/>
                <w:w w:val="86"/>
              </w:rPr>
              <w:t>Payout</w:t>
            </w:r>
          </w:p>
        </w:tc>
      </w:tr>
      <w:tr>
        <w:trPr>
          <w:trHeight w:val="230"/>
        </w:trPr>
        <w:tc>
          <w:tcPr>
            <w:tcW w:w="3500" w:type="dxa"/>
            <w:vAlign w:val="bottom"/>
            <w:tcBorders>
              <w:left w:val="single" w:sz="8" w:color="auto"/>
            </w:tcBorders>
            <w:shd w:val="clear" w:color="auto" w:fill="00529B"/>
          </w:tcPr>
          <w:p>
            <w:pPr>
              <w:spacing w:after="0"/>
              <w:rPr>
                <w:sz w:val="20"/>
                <w:szCs w:val="20"/>
                <w:color w:val="auto"/>
              </w:rPr>
            </w:pPr>
          </w:p>
        </w:tc>
        <w:tc>
          <w:tcPr>
            <w:tcW w:w="3260" w:type="dxa"/>
            <w:vAlign w:val="bottom"/>
            <w:tcBorders>
              <w:right w:val="single" w:sz="8" w:color="auto"/>
            </w:tcBorders>
            <w:gridSpan w:val="2"/>
            <w:shd w:val="clear" w:color="auto" w:fill="00529B"/>
          </w:tcPr>
          <w:p>
            <w:pPr>
              <w:jc w:val="center"/>
              <w:ind w:left="1292"/>
              <w:spacing w:after="0"/>
              <w:rPr>
                <w:sz w:val="20"/>
                <w:szCs w:val="20"/>
                <w:color w:val="auto"/>
              </w:rPr>
            </w:pPr>
            <w:r>
              <w:rPr>
                <w:rFonts w:ascii="Arial" w:cs="Arial" w:eastAsia="Arial" w:hAnsi="Arial"/>
                <w:sz w:val="18"/>
                <w:szCs w:val="18"/>
                <w:b w:val="1"/>
                <w:bCs w:val="1"/>
                <w:color w:val="FFFFFE"/>
                <w:w w:val="91"/>
              </w:rPr>
              <w:t>(% of target)</w:t>
            </w:r>
          </w:p>
        </w:tc>
      </w:tr>
      <w:tr>
        <w:trPr>
          <w:trHeight w:val="216"/>
        </w:trPr>
        <w:tc>
          <w:tcPr>
            <w:tcW w:w="350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color w:val="auto"/>
              </w:rPr>
              <w:t>Threshold</w:t>
            </w:r>
          </w:p>
        </w:tc>
        <w:tc>
          <w:tcPr>
            <w:tcW w:w="2260" w:type="dxa"/>
            <w:vAlign w:val="bottom"/>
          </w:tcPr>
          <w:p>
            <w:pPr>
              <w:jc w:val="right"/>
              <w:spacing w:after="0"/>
              <w:rPr>
                <w:sz w:val="20"/>
                <w:szCs w:val="20"/>
                <w:color w:val="auto"/>
              </w:rPr>
            </w:pPr>
            <w:r>
              <w:rPr>
                <w:rFonts w:ascii="Arial" w:cs="Arial" w:eastAsia="Arial" w:hAnsi="Arial"/>
                <w:sz w:val="18"/>
                <w:szCs w:val="18"/>
                <w:color w:val="auto"/>
              </w:rPr>
              <w:t>40%</w:t>
            </w:r>
          </w:p>
        </w:tc>
        <w:tc>
          <w:tcPr>
            <w:tcW w:w="1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- 60%</w:t>
            </w:r>
          </w:p>
        </w:tc>
      </w:tr>
      <w:tr>
        <w:trPr>
          <w:trHeight w:val="500"/>
        </w:trPr>
        <w:tc>
          <w:tcPr>
            <w:tcW w:w="3500" w:type="dxa"/>
            <w:vAlign w:val="bottom"/>
            <w:tcBorders>
              <w:left w:val="single" w:sz="8" w:color="auto"/>
            </w:tcBorders>
            <w:shd w:val="clear" w:color="auto" w:fill="DFE3F1"/>
          </w:tcPr>
          <w:p>
            <w:pPr>
              <w:ind w:left="260"/>
              <w:spacing w:after="0"/>
              <w:rPr>
                <w:sz w:val="20"/>
                <w:szCs w:val="20"/>
                <w:color w:val="auto"/>
              </w:rPr>
            </w:pPr>
            <w:r>
              <w:rPr>
                <w:rFonts w:ascii="Arial" w:cs="Arial" w:eastAsia="Arial" w:hAnsi="Arial"/>
                <w:sz w:val="18"/>
                <w:szCs w:val="18"/>
                <w:b w:val="1"/>
                <w:bCs w:val="1"/>
                <w:color w:val="auto"/>
              </w:rPr>
              <w:t>Target</w:t>
            </w:r>
          </w:p>
        </w:tc>
        <w:tc>
          <w:tcPr>
            <w:tcW w:w="3260" w:type="dxa"/>
            <w:vAlign w:val="bottom"/>
            <w:tcBorders>
              <w:right w:val="single" w:sz="8" w:color="auto"/>
            </w:tcBorders>
            <w:gridSpan w:val="2"/>
            <w:shd w:val="clear" w:color="auto" w:fill="DFE3F1"/>
          </w:tcPr>
          <w:p>
            <w:pPr>
              <w:jc w:val="center"/>
              <w:ind w:left="1292"/>
              <w:spacing w:after="0"/>
              <w:rPr>
                <w:sz w:val="20"/>
                <w:szCs w:val="20"/>
                <w:color w:val="auto"/>
              </w:rPr>
            </w:pPr>
            <w:r>
              <w:rPr>
                <w:rFonts w:ascii="Arial" w:cs="Arial" w:eastAsia="Arial" w:hAnsi="Arial"/>
                <w:sz w:val="18"/>
                <w:szCs w:val="18"/>
                <w:color w:val="auto"/>
                <w:w w:val="89"/>
              </w:rPr>
              <w:t>80% - 120%</w:t>
            </w:r>
          </w:p>
        </w:tc>
      </w:tr>
      <w:tr>
        <w:trPr>
          <w:trHeight w:val="498"/>
        </w:trPr>
        <w:tc>
          <w:tcPr>
            <w:tcW w:w="350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color w:val="auto"/>
              </w:rPr>
              <w:t>Excellence</w:t>
            </w:r>
          </w:p>
        </w:tc>
        <w:tc>
          <w:tcPr>
            <w:tcW w:w="2260" w:type="dxa"/>
            <w:vAlign w:val="bottom"/>
          </w:tcPr>
          <w:p>
            <w:pPr>
              <w:jc w:val="right"/>
              <w:spacing w:after="0"/>
              <w:rPr>
                <w:sz w:val="20"/>
                <w:szCs w:val="20"/>
                <w:color w:val="auto"/>
              </w:rPr>
            </w:pPr>
            <w:r>
              <w:rPr>
                <w:rFonts w:ascii="Arial" w:cs="Arial" w:eastAsia="Arial" w:hAnsi="Arial"/>
                <w:sz w:val="18"/>
                <w:szCs w:val="18"/>
                <w:color w:val="auto"/>
              </w:rPr>
              <w:t>120%</w:t>
            </w:r>
          </w:p>
        </w:tc>
        <w:tc>
          <w:tcPr>
            <w:tcW w:w="1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- 180%</w:t>
            </w:r>
          </w:p>
        </w:tc>
      </w:tr>
      <w:tr>
        <w:trPr>
          <w:trHeight w:val="521"/>
        </w:trPr>
        <w:tc>
          <w:tcPr>
            <w:tcW w:w="3500" w:type="dxa"/>
            <w:vAlign w:val="bottom"/>
            <w:tcBorders>
              <w:left w:val="single" w:sz="8" w:color="auto"/>
              <w:bottom w:val="single" w:sz="8" w:color="0048E0"/>
            </w:tcBorders>
            <w:shd w:val="clear" w:color="auto" w:fill="DFE3F1"/>
          </w:tcPr>
          <w:p>
            <w:pPr>
              <w:ind w:left="260"/>
              <w:spacing w:after="0"/>
              <w:rPr>
                <w:sz w:val="20"/>
                <w:szCs w:val="20"/>
                <w:color w:val="auto"/>
              </w:rPr>
            </w:pPr>
            <w:r>
              <w:rPr>
                <w:rFonts w:ascii="Arial" w:cs="Arial" w:eastAsia="Arial" w:hAnsi="Arial"/>
                <w:sz w:val="18"/>
                <w:szCs w:val="18"/>
                <w:b w:val="1"/>
                <w:bCs w:val="1"/>
                <w:color w:val="auto"/>
              </w:rPr>
              <w:t>Maximum</w:t>
            </w:r>
          </w:p>
        </w:tc>
        <w:tc>
          <w:tcPr>
            <w:tcW w:w="2260" w:type="dxa"/>
            <w:vAlign w:val="bottom"/>
            <w:tcBorders>
              <w:bottom w:val="single" w:sz="8" w:color="0048E0"/>
            </w:tcBorders>
            <w:shd w:val="clear" w:color="auto" w:fill="DFE3F1"/>
          </w:tcPr>
          <w:p>
            <w:pPr>
              <w:jc w:val="right"/>
              <w:spacing w:after="0"/>
              <w:rPr>
                <w:sz w:val="20"/>
                <w:szCs w:val="20"/>
                <w:color w:val="auto"/>
              </w:rPr>
            </w:pPr>
            <w:r>
              <w:rPr>
                <w:rFonts w:ascii="Arial" w:cs="Arial" w:eastAsia="Arial" w:hAnsi="Arial"/>
                <w:sz w:val="18"/>
                <w:szCs w:val="18"/>
                <w:color w:val="auto"/>
              </w:rPr>
              <w:t>160%</w:t>
            </w:r>
          </w:p>
        </w:tc>
        <w:tc>
          <w:tcPr>
            <w:tcW w:w="1000" w:type="dxa"/>
            <w:vAlign w:val="bottom"/>
            <w:tcBorders>
              <w:bottom w:val="single" w:sz="8" w:color="0048E0"/>
              <w:right w:val="single" w:sz="8" w:color="auto"/>
            </w:tcBorders>
            <w:shd w:val="clear" w:color="auto" w:fill="DFE3F1"/>
          </w:tcPr>
          <w:p>
            <w:pPr>
              <w:ind w:left="40"/>
              <w:spacing w:after="0"/>
              <w:rPr>
                <w:sz w:val="20"/>
                <w:szCs w:val="20"/>
                <w:color w:val="auto"/>
              </w:rPr>
            </w:pPr>
            <w:r>
              <w:rPr>
                <w:rFonts w:ascii="Arial" w:cs="Arial" w:eastAsia="Arial" w:hAnsi="Arial"/>
                <w:sz w:val="18"/>
                <w:szCs w:val="18"/>
                <w:color w:val="auto"/>
              </w:rPr>
              <w:t>- 200%</w:t>
            </w: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the event that growth falls anywhere between the foregoing performance levels, linear interpolation will be applied to determine the appropriate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payout.</w:t>
      </w:r>
    </w:p>
    <w:p>
      <w:pPr>
        <w:spacing w:after="0" w:line="9"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Additional Equity Awards</w:t>
      </w:r>
    </w:p>
    <w:p>
      <w:pPr>
        <w:spacing w:after="0" w:line="225" w:lineRule="exact"/>
        <w:rPr>
          <w:sz w:val="20"/>
          <w:szCs w:val="20"/>
          <w:color w:val="auto"/>
        </w:rPr>
      </w:pPr>
    </w:p>
    <w:p>
      <w:pPr>
        <w:ind w:right="20" w:firstLine="614"/>
        <w:spacing w:after="0" w:line="294" w:lineRule="auto"/>
        <w:rPr>
          <w:sz w:val="20"/>
          <w:szCs w:val="20"/>
          <w:color w:val="auto"/>
        </w:rPr>
      </w:pPr>
      <w:r>
        <w:rPr>
          <w:rFonts w:ascii="Arial" w:cs="Arial" w:eastAsia="Arial" w:hAnsi="Arial"/>
          <w:sz w:val="16"/>
          <w:szCs w:val="16"/>
          <w:color w:val="auto"/>
        </w:rPr>
        <w:t>During the evaluation of our NEO's 2019 compensation, the Committee determined to provide additional incentive for Mr. Kasbar to drive shareholder value and long-term sustained growth and awarded Mr. Kasbar a service-based SSAR award. The Committee concluded that such incentive would be appropriate to effectively motivate, reward and retain Mr. Kasbar while further aligning his interests with our shareholders. Consequently, in March 2019, the Committee granted Mr. Kasbar service-based SSARs with a grant date fair value of $1,000,000, which vests on the third anniversary of the grant date and expires on the fifth anniversary of the grant date. For more information about the SSARs, see the "Grants of Plan-Based Awards" table below.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Determining 2019 Performance Results</w:t>
      </w:r>
    </w:p>
    <w:p>
      <w:pPr>
        <w:spacing w:after="0" w:line="231" w:lineRule="exact"/>
        <w:rPr>
          <w:sz w:val="20"/>
          <w:szCs w:val="20"/>
          <w:color w:val="auto"/>
        </w:rPr>
      </w:pPr>
    </w:p>
    <w:p>
      <w:pPr>
        <w:ind w:right="40" w:firstLine="614"/>
        <w:spacing w:after="0" w:line="254" w:lineRule="auto"/>
        <w:rPr>
          <w:sz w:val="20"/>
          <w:szCs w:val="20"/>
          <w:color w:val="auto"/>
        </w:rPr>
      </w:pPr>
      <w:r>
        <w:rPr>
          <w:rFonts w:ascii="Arial" w:cs="Arial" w:eastAsia="Arial" w:hAnsi="Arial"/>
          <w:sz w:val="18"/>
          <w:szCs w:val="18"/>
          <w:color w:val="auto"/>
        </w:rPr>
        <w:t>In early March of 2020, the Committee determined our financial metrics achieved and the extent to which each of our NEOs achieved their strategic objectives. As part of this determination, the Committee could use its discretion to determine on a case-by-case basis the extent to which recognition or charges to EBITDA or Operating Income are to be included or excluded from the determination of the performance level achieved. For example, the Committee could adjust for non-operational items and one-time benefits that the Committee does not believe reflect our on-going business or the efforts of the NEOs. In addition, the Committee could exercise negative discretion on the prescribed incentive awards in accordance with the terms of the 2016 Omnibus Plan, as it deemed appropriate.</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0048E0"/>
        </w:rPr>
        <w:t>Annual Incentive Awards</w:t>
      </w:r>
    </w:p>
    <w:p>
      <w:pPr>
        <w:spacing w:after="0" w:line="225" w:lineRule="exact"/>
        <w:rPr>
          <w:sz w:val="20"/>
          <w:szCs w:val="20"/>
          <w:color w:val="auto"/>
        </w:rPr>
      </w:pPr>
    </w:p>
    <w:p>
      <w:pPr>
        <w:ind w:right="60" w:firstLine="614"/>
        <w:spacing w:after="0" w:line="294" w:lineRule="auto"/>
        <w:rPr>
          <w:sz w:val="20"/>
          <w:szCs w:val="20"/>
          <w:color w:val="auto"/>
        </w:rPr>
      </w:pPr>
      <w:r>
        <w:rPr>
          <w:rFonts w:ascii="Arial" w:cs="Arial" w:eastAsia="Arial" w:hAnsi="Arial"/>
          <w:sz w:val="16"/>
          <w:szCs w:val="16"/>
          <w:u w:val="single" w:color="auto"/>
          <w:color w:val="0048E0"/>
        </w:rPr>
        <w:t>Company Profitability.</w:t>
      </w:r>
      <w:r>
        <w:rPr>
          <w:rFonts w:ascii="Arial" w:cs="Arial" w:eastAsia="Arial" w:hAnsi="Arial"/>
          <w:sz w:val="16"/>
          <w:szCs w:val="16"/>
          <w:color w:val="0048E0"/>
        </w:rPr>
        <w:t xml:space="preserve"> </w:t>
      </w:r>
      <w:r>
        <w:rPr>
          <w:rFonts w:ascii="Arial" w:cs="Arial" w:eastAsia="Arial" w:hAnsi="Arial"/>
          <w:sz w:val="16"/>
          <w:szCs w:val="16"/>
          <w:color w:val="000000"/>
        </w:rPr>
        <w:t>The Committee evaluated our 2019 actual financial results and decided, consistent with the foregoing, to make adjustments</w:t>
      </w:r>
      <w:r>
        <w:rPr>
          <w:rFonts w:ascii="Arial" w:cs="Arial" w:eastAsia="Arial" w:hAnsi="Arial"/>
          <w:sz w:val="16"/>
          <w:szCs w:val="16"/>
          <w:color w:val="0048E0"/>
        </w:rPr>
        <w:t xml:space="preserve"> </w:t>
      </w:r>
      <w:r>
        <w:rPr>
          <w:rFonts w:ascii="Arial" w:cs="Arial" w:eastAsia="Arial" w:hAnsi="Arial"/>
          <w:sz w:val="16"/>
          <w:szCs w:val="16"/>
          <w:color w:val="000000"/>
        </w:rPr>
        <w:t>for certain non-operational items, such as those associated with acquisition-related charges and restructuring-related costs, which the Committee believed did not adequately reflect the on-going business and financial performance of the Company or economic trends. Based on the foregoing evaluation, the Committee determined that our EBITDA performance was above the target level, totaling $409.2 million, or 109% of target. As a result, our NEOs received the following payouts under the cash and equity portions of the annual incentive awards:</w:t>
      </w:r>
    </w:p>
    <w:p>
      <w:pPr>
        <w:spacing w:after="0" w:line="1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FFFFFE"/>
        </w:rPr>
        <w:t>2019 Annual Incentive Award Payout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-121920</wp:posOffset>
            </wp:positionV>
            <wp:extent cx="4277360" cy="2825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77360" cy="2825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60" w:type="dxa"/>
            <w:vAlign w:val="bottom"/>
            <w:tcBorders>
              <w:right w:val="single" w:sz="8" w:color="auto"/>
            </w:tcBorders>
          </w:tcPr>
          <w:p>
            <w:pPr>
              <w:spacing w:after="0"/>
              <w:rPr>
                <w:sz w:val="18"/>
                <w:szCs w:val="18"/>
                <w:color w:val="auto"/>
              </w:rPr>
            </w:pPr>
          </w:p>
        </w:tc>
        <w:tc>
          <w:tcPr>
            <w:tcW w:w="2080" w:type="dxa"/>
            <w:vAlign w:val="bottom"/>
            <w:gridSpan w:val="2"/>
            <w:shd w:val="clear" w:color="auto" w:fill="00529B"/>
          </w:tcPr>
          <w:p>
            <w:pPr>
              <w:ind w:left="460"/>
              <w:spacing w:after="0"/>
              <w:rPr>
                <w:sz w:val="20"/>
                <w:szCs w:val="20"/>
                <w:color w:val="auto"/>
              </w:rPr>
            </w:pPr>
            <w:r>
              <w:rPr>
                <w:rFonts w:ascii="Arial" w:cs="Arial" w:eastAsia="Arial" w:hAnsi="Arial"/>
                <w:sz w:val="18"/>
                <w:szCs w:val="18"/>
                <w:b w:val="1"/>
                <w:bCs w:val="1"/>
                <w:color w:val="FFFFFE"/>
              </w:rPr>
              <w:t>NEO</w:t>
            </w:r>
          </w:p>
        </w:tc>
        <w:tc>
          <w:tcPr>
            <w:tcW w:w="2580" w:type="dxa"/>
            <w:vAlign w:val="bottom"/>
            <w:shd w:val="clear" w:color="auto" w:fill="00529B"/>
          </w:tcPr>
          <w:p>
            <w:pPr>
              <w:ind w:left="1320"/>
              <w:spacing w:after="0"/>
              <w:rPr>
                <w:sz w:val="20"/>
                <w:szCs w:val="20"/>
                <w:color w:val="auto"/>
              </w:rPr>
            </w:pPr>
            <w:r>
              <w:rPr>
                <w:rFonts w:ascii="Arial" w:cs="Arial" w:eastAsia="Arial" w:hAnsi="Arial"/>
                <w:sz w:val="18"/>
                <w:szCs w:val="18"/>
                <w:b w:val="1"/>
                <w:bCs w:val="1"/>
                <w:color w:val="FFFFFE"/>
              </w:rPr>
              <w:t>Cash</w:t>
            </w:r>
          </w:p>
        </w:tc>
        <w:tc>
          <w:tcPr>
            <w:tcW w:w="2080" w:type="dxa"/>
            <w:vAlign w:val="bottom"/>
            <w:tcBorders>
              <w:right w:val="single" w:sz="8" w:color="auto"/>
            </w:tcBorders>
            <w:shd w:val="clear" w:color="auto" w:fill="00529B"/>
          </w:tcPr>
          <w:p>
            <w:pPr>
              <w:jc w:val="center"/>
              <w:ind w:right="152"/>
              <w:spacing w:after="0"/>
              <w:rPr>
                <w:sz w:val="20"/>
                <w:szCs w:val="20"/>
                <w:color w:val="auto"/>
              </w:rPr>
            </w:pPr>
            <w:r>
              <w:rPr>
                <w:rFonts w:ascii="Arial" w:cs="Arial" w:eastAsia="Arial" w:hAnsi="Arial"/>
                <w:sz w:val="18"/>
                <w:szCs w:val="18"/>
                <w:b w:val="1"/>
                <w:bCs w:val="1"/>
                <w:color w:val="FFFFFE"/>
                <w:w w:val="96"/>
              </w:rPr>
              <w:t>Equity*</w:t>
            </w:r>
          </w:p>
        </w:tc>
      </w:tr>
      <w:tr>
        <w:trPr>
          <w:trHeight w:val="216"/>
        </w:trPr>
        <w:tc>
          <w:tcPr>
            <w:tcW w:w="2260" w:type="dxa"/>
            <w:vAlign w:val="bottom"/>
            <w:tcBorders>
              <w:right w:val="single" w:sz="8" w:color="auto"/>
            </w:tcBorders>
          </w:tcPr>
          <w:p>
            <w:pPr>
              <w:spacing w:after="0"/>
              <w:rPr>
                <w:sz w:val="18"/>
                <w:szCs w:val="18"/>
                <w:color w:val="auto"/>
              </w:rPr>
            </w:pPr>
          </w:p>
        </w:tc>
        <w:tc>
          <w:tcPr>
            <w:tcW w:w="2080" w:type="dxa"/>
            <w:vAlign w:val="bottom"/>
            <w:gridSpan w:val="2"/>
          </w:tcPr>
          <w:p>
            <w:pPr>
              <w:ind w:left="460"/>
              <w:spacing w:after="0"/>
              <w:rPr>
                <w:sz w:val="20"/>
                <w:szCs w:val="20"/>
                <w:color w:val="auto"/>
              </w:rPr>
            </w:pPr>
            <w:r>
              <w:rPr>
                <w:rFonts w:ascii="Arial" w:cs="Arial" w:eastAsia="Arial" w:hAnsi="Arial"/>
                <w:sz w:val="18"/>
                <w:szCs w:val="18"/>
                <w:b w:val="1"/>
                <w:bCs w:val="1"/>
                <w:color w:val="auto"/>
              </w:rPr>
              <w:t>Kasbar</w:t>
            </w:r>
          </w:p>
        </w:tc>
        <w:tc>
          <w:tcPr>
            <w:tcW w:w="2580" w:type="dxa"/>
            <w:vAlign w:val="bottom"/>
          </w:tcPr>
          <w:p>
            <w:pPr>
              <w:ind w:left="1060"/>
              <w:spacing w:after="0"/>
              <w:rPr>
                <w:sz w:val="20"/>
                <w:szCs w:val="20"/>
                <w:color w:val="auto"/>
              </w:rPr>
            </w:pPr>
            <w:r>
              <w:rPr>
                <w:rFonts w:ascii="Arial" w:cs="Arial" w:eastAsia="Arial" w:hAnsi="Arial"/>
                <w:sz w:val="18"/>
                <w:szCs w:val="18"/>
                <w:color w:val="auto"/>
              </w:rPr>
              <w:t>$  1,868,903</w:t>
            </w:r>
          </w:p>
        </w:tc>
        <w:tc>
          <w:tcPr>
            <w:tcW w:w="2080" w:type="dxa"/>
            <w:vAlign w:val="bottom"/>
            <w:tcBorders>
              <w:right w:val="single" w:sz="8" w:color="auto"/>
            </w:tcBorders>
          </w:tcPr>
          <w:p>
            <w:pPr>
              <w:jc w:val="center"/>
              <w:ind w:right="152"/>
              <w:spacing w:after="0"/>
              <w:rPr>
                <w:sz w:val="20"/>
                <w:szCs w:val="20"/>
                <w:color w:val="auto"/>
              </w:rPr>
            </w:pPr>
            <w:r>
              <w:rPr>
                <w:rFonts w:ascii="Arial" w:cs="Arial" w:eastAsia="Arial" w:hAnsi="Arial"/>
                <w:sz w:val="18"/>
                <w:szCs w:val="18"/>
                <w:color w:val="auto"/>
                <w:w w:val="87"/>
              </w:rPr>
              <w:t>80,815</w:t>
            </w:r>
          </w:p>
        </w:tc>
      </w:tr>
      <w:tr>
        <w:trPr>
          <w:trHeight w:val="432"/>
        </w:trPr>
        <w:tc>
          <w:tcPr>
            <w:tcW w:w="2260" w:type="dxa"/>
            <w:vAlign w:val="bottom"/>
            <w:tcBorders>
              <w:right w:val="single" w:sz="8" w:color="auto"/>
            </w:tcBorders>
          </w:tcPr>
          <w:p>
            <w:pPr>
              <w:spacing w:after="0"/>
              <w:rPr>
                <w:sz w:val="24"/>
                <w:szCs w:val="24"/>
                <w:color w:val="auto"/>
              </w:rPr>
            </w:pPr>
          </w:p>
        </w:tc>
        <w:tc>
          <w:tcPr>
            <w:tcW w:w="2080" w:type="dxa"/>
            <w:vAlign w:val="bottom"/>
            <w:gridSpan w:val="2"/>
            <w:shd w:val="clear" w:color="auto" w:fill="DFE3F1"/>
          </w:tcPr>
          <w:p>
            <w:pPr>
              <w:ind w:left="460"/>
              <w:spacing w:after="0"/>
              <w:rPr>
                <w:sz w:val="20"/>
                <w:szCs w:val="20"/>
                <w:color w:val="auto"/>
              </w:rPr>
            </w:pPr>
            <w:r>
              <w:rPr>
                <w:rFonts w:ascii="Arial" w:cs="Arial" w:eastAsia="Arial" w:hAnsi="Arial"/>
                <w:sz w:val="18"/>
                <w:szCs w:val="18"/>
                <w:b w:val="1"/>
                <w:bCs w:val="1"/>
                <w:color w:val="auto"/>
              </w:rPr>
              <w:t>Birns</w:t>
            </w:r>
          </w:p>
        </w:tc>
        <w:tc>
          <w:tcPr>
            <w:tcW w:w="2580" w:type="dxa"/>
            <w:vAlign w:val="bottom"/>
            <w:shd w:val="clear" w:color="auto" w:fill="DFE3F1"/>
          </w:tcPr>
          <w:p>
            <w:pPr>
              <w:ind w:left="1340"/>
              <w:spacing w:after="0"/>
              <w:rPr>
                <w:sz w:val="20"/>
                <w:szCs w:val="20"/>
                <w:color w:val="auto"/>
              </w:rPr>
            </w:pPr>
            <w:r>
              <w:rPr>
                <w:rFonts w:ascii="Arial" w:cs="Arial" w:eastAsia="Arial" w:hAnsi="Arial"/>
                <w:sz w:val="18"/>
                <w:szCs w:val="18"/>
                <w:color w:val="auto"/>
              </w:rPr>
              <w:t>734,614</w:t>
            </w:r>
          </w:p>
        </w:tc>
        <w:tc>
          <w:tcPr>
            <w:tcW w:w="2080" w:type="dxa"/>
            <w:vAlign w:val="bottom"/>
            <w:tcBorders>
              <w:right w:val="single" w:sz="8" w:color="auto"/>
            </w:tcBorders>
            <w:shd w:val="clear" w:color="auto" w:fill="DFE3F1"/>
          </w:tcPr>
          <w:p>
            <w:pPr>
              <w:jc w:val="center"/>
              <w:ind w:right="152"/>
              <w:spacing w:after="0"/>
              <w:rPr>
                <w:sz w:val="20"/>
                <w:szCs w:val="20"/>
                <w:color w:val="auto"/>
              </w:rPr>
            </w:pPr>
            <w:r>
              <w:rPr>
                <w:rFonts w:ascii="Arial" w:cs="Arial" w:eastAsia="Arial" w:hAnsi="Arial"/>
                <w:sz w:val="18"/>
                <w:szCs w:val="18"/>
                <w:color w:val="auto"/>
                <w:w w:val="87"/>
              </w:rPr>
              <w:t>31,766</w:t>
            </w:r>
          </w:p>
        </w:tc>
      </w:tr>
      <w:tr>
        <w:trPr>
          <w:trHeight w:val="431"/>
        </w:trPr>
        <w:tc>
          <w:tcPr>
            <w:tcW w:w="2260" w:type="dxa"/>
            <w:vAlign w:val="bottom"/>
            <w:tcBorders>
              <w:right w:val="single" w:sz="8" w:color="auto"/>
            </w:tcBorders>
          </w:tcPr>
          <w:p>
            <w:pPr>
              <w:spacing w:after="0"/>
              <w:rPr>
                <w:sz w:val="24"/>
                <w:szCs w:val="24"/>
                <w:color w:val="auto"/>
              </w:rPr>
            </w:pPr>
          </w:p>
        </w:tc>
        <w:tc>
          <w:tcPr>
            <w:tcW w:w="2080" w:type="dxa"/>
            <w:vAlign w:val="bottom"/>
            <w:gridSpan w:val="2"/>
          </w:tcPr>
          <w:p>
            <w:pPr>
              <w:ind w:left="460"/>
              <w:spacing w:after="0"/>
              <w:rPr>
                <w:sz w:val="20"/>
                <w:szCs w:val="20"/>
                <w:color w:val="auto"/>
              </w:rPr>
            </w:pPr>
            <w:r>
              <w:rPr>
                <w:rFonts w:ascii="Arial" w:cs="Arial" w:eastAsia="Arial" w:hAnsi="Arial"/>
                <w:sz w:val="18"/>
                <w:szCs w:val="18"/>
                <w:b w:val="1"/>
                <w:bCs w:val="1"/>
                <w:color w:val="auto"/>
              </w:rPr>
              <w:t>Smith</w:t>
            </w:r>
          </w:p>
        </w:tc>
        <w:tc>
          <w:tcPr>
            <w:tcW w:w="2580" w:type="dxa"/>
            <w:vAlign w:val="bottom"/>
          </w:tcPr>
          <w:p>
            <w:pPr>
              <w:ind w:left="1340"/>
              <w:spacing w:after="0"/>
              <w:rPr>
                <w:sz w:val="20"/>
                <w:szCs w:val="20"/>
                <w:color w:val="auto"/>
              </w:rPr>
            </w:pPr>
            <w:r>
              <w:rPr>
                <w:rFonts w:ascii="Arial" w:cs="Arial" w:eastAsia="Arial" w:hAnsi="Arial"/>
                <w:sz w:val="18"/>
                <w:szCs w:val="18"/>
                <w:color w:val="auto"/>
              </w:rPr>
              <w:t>734,614</w:t>
            </w:r>
          </w:p>
        </w:tc>
        <w:tc>
          <w:tcPr>
            <w:tcW w:w="2080" w:type="dxa"/>
            <w:vAlign w:val="bottom"/>
            <w:tcBorders>
              <w:right w:val="single" w:sz="8" w:color="auto"/>
            </w:tcBorders>
          </w:tcPr>
          <w:p>
            <w:pPr>
              <w:jc w:val="center"/>
              <w:ind w:right="152"/>
              <w:spacing w:after="0"/>
              <w:rPr>
                <w:sz w:val="20"/>
                <w:szCs w:val="20"/>
                <w:color w:val="auto"/>
              </w:rPr>
            </w:pPr>
            <w:r>
              <w:rPr>
                <w:rFonts w:ascii="Arial" w:cs="Arial" w:eastAsia="Arial" w:hAnsi="Arial"/>
                <w:sz w:val="18"/>
                <w:szCs w:val="18"/>
                <w:color w:val="auto"/>
                <w:w w:val="87"/>
              </w:rPr>
              <w:t>31,766</w:t>
            </w:r>
          </w:p>
        </w:tc>
      </w:tr>
      <w:tr>
        <w:trPr>
          <w:trHeight w:val="433"/>
        </w:trPr>
        <w:tc>
          <w:tcPr>
            <w:tcW w:w="2260" w:type="dxa"/>
            <w:vAlign w:val="bottom"/>
            <w:tcBorders>
              <w:right w:val="single" w:sz="8" w:color="auto"/>
            </w:tcBorders>
          </w:tcPr>
          <w:p>
            <w:pPr>
              <w:spacing w:after="0"/>
              <w:rPr>
                <w:sz w:val="24"/>
                <w:szCs w:val="24"/>
                <w:color w:val="auto"/>
              </w:rPr>
            </w:pPr>
          </w:p>
        </w:tc>
        <w:tc>
          <w:tcPr>
            <w:tcW w:w="2080" w:type="dxa"/>
            <w:vAlign w:val="bottom"/>
            <w:gridSpan w:val="2"/>
            <w:shd w:val="clear" w:color="auto" w:fill="DFE3F1"/>
          </w:tcPr>
          <w:p>
            <w:pPr>
              <w:ind w:left="460"/>
              <w:spacing w:after="0"/>
              <w:rPr>
                <w:sz w:val="20"/>
                <w:szCs w:val="20"/>
                <w:color w:val="auto"/>
              </w:rPr>
            </w:pPr>
            <w:r>
              <w:rPr>
                <w:rFonts w:ascii="Arial" w:cs="Arial" w:eastAsia="Arial" w:hAnsi="Arial"/>
                <w:sz w:val="18"/>
                <w:szCs w:val="18"/>
                <w:b w:val="1"/>
                <w:bCs w:val="1"/>
                <w:color w:val="auto"/>
              </w:rPr>
              <w:t>Crosby</w:t>
            </w:r>
          </w:p>
        </w:tc>
        <w:tc>
          <w:tcPr>
            <w:tcW w:w="2580" w:type="dxa"/>
            <w:vAlign w:val="bottom"/>
            <w:shd w:val="clear" w:color="auto" w:fill="DFE3F1"/>
          </w:tcPr>
          <w:p>
            <w:pPr>
              <w:ind w:left="1340"/>
              <w:spacing w:after="0"/>
              <w:rPr>
                <w:sz w:val="20"/>
                <w:szCs w:val="20"/>
                <w:color w:val="auto"/>
              </w:rPr>
            </w:pPr>
            <w:r>
              <w:rPr>
                <w:rFonts w:ascii="Arial" w:cs="Arial" w:eastAsia="Arial" w:hAnsi="Arial"/>
                <w:sz w:val="18"/>
                <w:szCs w:val="18"/>
                <w:color w:val="auto"/>
              </w:rPr>
              <w:t>535,629</w:t>
            </w:r>
          </w:p>
        </w:tc>
        <w:tc>
          <w:tcPr>
            <w:tcW w:w="2080" w:type="dxa"/>
            <w:vAlign w:val="bottom"/>
            <w:tcBorders>
              <w:right w:val="single" w:sz="8" w:color="auto"/>
            </w:tcBorders>
            <w:shd w:val="clear" w:color="auto" w:fill="DFE3F1"/>
          </w:tcPr>
          <w:p>
            <w:pPr>
              <w:jc w:val="center"/>
              <w:ind w:right="152"/>
              <w:spacing w:after="0"/>
              <w:rPr>
                <w:sz w:val="20"/>
                <w:szCs w:val="20"/>
                <w:color w:val="auto"/>
              </w:rPr>
            </w:pPr>
            <w:r>
              <w:rPr>
                <w:rFonts w:ascii="Arial" w:cs="Arial" w:eastAsia="Arial" w:hAnsi="Arial"/>
                <w:sz w:val="18"/>
                <w:szCs w:val="18"/>
                <w:color w:val="auto"/>
                <w:w w:val="87"/>
              </w:rPr>
              <w:t>20,391</w:t>
            </w:r>
          </w:p>
        </w:tc>
      </w:tr>
      <w:tr>
        <w:trPr>
          <w:trHeight w:val="453"/>
        </w:trPr>
        <w:tc>
          <w:tcPr>
            <w:tcW w:w="2260" w:type="dxa"/>
            <w:vAlign w:val="bottom"/>
            <w:tcBorders>
              <w:right w:val="single" w:sz="8" w:color="auto"/>
            </w:tcBorders>
          </w:tcPr>
          <w:p>
            <w:pPr>
              <w:spacing w:after="0"/>
              <w:rPr>
                <w:sz w:val="24"/>
                <w:szCs w:val="24"/>
                <w:color w:val="auto"/>
              </w:rPr>
            </w:pPr>
          </w:p>
        </w:tc>
        <w:tc>
          <w:tcPr>
            <w:tcW w:w="2080" w:type="dxa"/>
            <w:vAlign w:val="bottom"/>
            <w:tcBorders>
              <w:bottom w:val="single" w:sz="8" w:color="0048E0"/>
            </w:tcBorders>
            <w:gridSpan w:val="2"/>
          </w:tcPr>
          <w:p>
            <w:pPr>
              <w:ind w:left="460"/>
              <w:spacing w:after="0"/>
              <w:rPr>
                <w:sz w:val="20"/>
                <w:szCs w:val="20"/>
                <w:color w:val="auto"/>
              </w:rPr>
            </w:pPr>
            <w:r>
              <w:rPr>
                <w:rFonts w:ascii="Arial" w:cs="Arial" w:eastAsia="Arial" w:hAnsi="Arial"/>
                <w:sz w:val="18"/>
                <w:szCs w:val="18"/>
                <w:b w:val="1"/>
                <w:bCs w:val="1"/>
                <w:color w:val="auto"/>
              </w:rPr>
              <w:t>Rau</w:t>
            </w:r>
          </w:p>
        </w:tc>
        <w:tc>
          <w:tcPr>
            <w:tcW w:w="2580" w:type="dxa"/>
            <w:vAlign w:val="bottom"/>
            <w:tcBorders>
              <w:bottom w:val="single" w:sz="8" w:color="0048E0"/>
            </w:tcBorders>
          </w:tcPr>
          <w:p>
            <w:pPr>
              <w:ind w:left="1340"/>
              <w:spacing w:after="0"/>
              <w:rPr>
                <w:sz w:val="20"/>
                <w:szCs w:val="20"/>
                <w:color w:val="auto"/>
              </w:rPr>
            </w:pPr>
            <w:r>
              <w:rPr>
                <w:rFonts w:ascii="Arial" w:cs="Arial" w:eastAsia="Arial" w:hAnsi="Arial"/>
                <w:sz w:val="18"/>
                <w:szCs w:val="18"/>
                <w:color w:val="auto"/>
              </w:rPr>
              <w:t>535,629</w:t>
            </w:r>
          </w:p>
        </w:tc>
        <w:tc>
          <w:tcPr>
            <w:tcW w:w="2080" w:type="dxa"/>
            <w:vAlign w:val="bottom"/>
            <w:tcBorders>
              <w:bottom w:val="single" w:sz="8" w:color="0048E0"/>
              <w:right w:val="single" w:sz="8" w:color="auto"/>
            </w:tcBorders>
          </w:tcPr>
          <w:p>
            <w:pPr>
              <w:jc w:val="center"/>
              <w:ind w:right="152"/>
              <w:spacing w:after="0"/>
              <w:rPr>
                <w:sz w:val="20"/>
                <w:szCs w:val="20"/>
                <w:color w:val="auto"/>
              </w:rPr>
            </w:pPr>
            <w:r>
              <w:rPr>
                <w:rFonts w:ascii="Arial" w:cs="Arial" w:eastAsia="Arial" w:hAnsi="Arial"/>
                <w:sz w:val="18"/>
                <w:szCs w:val="18"/>
                <w:color w:val="auto"/>
                <w:w w:val="87"/>
              </w:rPr>
              <w:t>20,391</w:t>
            </w:r>
          </w:p>
        </w:tc>
      </w:tr>
      <w:tr>
        <w:trPr>
          <w:trHeight w:val="108"/>
        </w:trPr>
        <w:tc>
          <w:tcPr>
            <w:tcW w:w="22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080" w:type="dxa"/>
            <w:vAlign w:val="bottom"/>
          </w:tcPr>
          <w:p>
            <w:pPr>
              <w:spacing w:after="0"/>
              <w:rPr>
                <w:sz w:val="9"/>
                <w:szCs w:val="9"/>
                <w:color w:val="auto"/>
              </w:rPr>
            </w:pPr>
          </w:p>
        </w:tc>
      </w:tr>
    </w:tbl>
    <w:p>
      <w:pPr>
        <w:spacing w:after="0" w:line="221" w:lineRule="exact"/>
        <w:rPr>
          <w:sz w:val="20"/>
          <w:szCs w:val="20"/>
          <w:color w:val="auto"/>
        </w:rPr>
      </w:pPr>
    </w:p>
    <w:p>
      <w:pPr>
        <w:ind w:left="540" w:right="180" w:hanging="532"/>
        <w:spacing w:after="0" w:line="26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equity portion was issued on March 15, 2020 in the form of RSUs that vest ratably on the first, second and third anniversaries of the grant date to further align the interests of our NEOs and our shareholders.</w:t>
      </w:r>
    </w:p>
    <w:p>
      <w:pPr>
        <w:spacing w:after="0" w:line="186" w:lineRule="exact"/>
        <w:rPr>
          <w:sz w:val="20"/>
          <w:szCs w:val="20"/>
          <w:color w:val="auto"/>
        </w:rPr>
      </w:pPr>
    </w:p>
    <w:p>
      <w:pPr>
        <w:ind w:right="100" w:firstLine="614"/>
        <w:spacing w:after="0" w:line="252" w:lineRule="auto"/>
        <w:rPr>
          <w:sz w:val="20"/>
          <w:szCs w:val="20"/>
          <w:color w:val="auto"/>
        </w:rPr>
      </w:pPr>
      <w:r>
        <w:rPr>
          <w:rFonts w:ascii="Arial" w:cs="Arial" w:eastAsia="Arial" w:hAnsi="Arial"/>
          <w:sz w:val="18"/>
          <w:szCs w:val="18"/>
          <w:u w:val="single" w:color="auto"/>
          <w:color w:val="0048E0"/>
        </w:rPr>
        <w:t>Line of Sight Profitability.</w:t>
      </w:r>
      <w:r>
        <w:rPr>
          <w:rFonts w:ascii="Arial" w:cs="Arial" w:eastAsia="Arial" w:hAnsi="Arial"/>
          <w:sz w:val="18"/>
          <w:szCs w:val="18"/>
          <w:color w:val="0048E0"/>
        </w:rPr>
        <w:t xml:space="preserve"> </w:t>
      </w:r>
      <w:r>
        <w:rPr>
          <w:rFonts w:ascii="Arial" w:cs="Arial" w:eastAsia="Arial" w:hAnsi="Arial"/>
          <w:sz w:val="18"/>
          <w:szCs w:val="18"/>
          <w:color w:val="000000"/>
        </w:rPr>
        <w:t>The Committee also determined that (i) the Operating Income for the Aviation/Marine LOS was between the target and</w:t>
      </w:r>
      <w:r>
        <w:rPr>
          <w:rFonts w:ascii="Arial" w:cs="Arial" w:eastAsia="Arial" w:hAnsi="Arial"/>
          <w:sz w:val="18"/>
          <w:szCs w:val="18"/>
          <w:color w:val="0048E0"/>
        </w:rPr>
        <w:t xml:space="preserve"> </w:t>
      </w:r>
      <w:r>
        <w:rPr>
          <w:rFonts w:ascii="Arial" w:cs="Arial" w:eastAsia="Arial" w:hAnsi="Arial"/>
          <w:sz w:val="18"/>
          <w:szCs w:val="18"/>
          <w:color w:val="000000"/>
        </w:rPr>
        <w:t>maximum level, (ii) the Operating Income for the Physical Operations LOS exceeded the maximum level and (iii) the Operating Income for the Land LOS did not meet the threshold level. Consequently, for this component of Messrs. Crosby and Rau's annual performance-based cash incentive awards, Mr. Crosby earned the maximum of $300,000 for the</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Physical Operations component and zero for the Land component and Mr. Rau earned $612,319 for the Aviation/Marine component.</w:t>
      </w:r>
    </w:p>
    <w:p>
      <w:pPr>
        <w:spacing w:after="0" w:line="225" w:lineRule="exact"/>
        <w:rPr>
          <w:sz w:val="20"/>
          <w:szCs w:val="20"/>
          <w:color w:val="auto"/>
        </w:rPr>
      </w:pPr>
    </w:p>
    <w:p>
      <w:pPr>
        <w:ind w:right="60" w:firstLine="614"/>
        <w:spacing w:after="0" w:line="290" w:lineRule="auto"/>
        <w:rPr>
          <w:sz w:val="20"/>
          <w:szCs w:val="20"/>
          <w:color w:val="auto"/>
        </w:rPr>
      </w:pPr>
      <w:r>
        <w:rPr>
          <w:rFonts w:ascii="Arial" w:cs="Arial" w:eastAsia="Arial" w:hAnsi="Arial"/>
          <w:sz w:val="16"/>
          <w:szCs w:val="16"/>
          <w:u w:val="single" w:color="auto"/>
          <w:color w:val="0048E0"/>
        </w:rPr>
        <w:t>Strategic Objectives.</w:t>
      </w:r>
      <w:r>
        <w:rPr>
          <w:rFonts w:ascii="Arial" w:cs="Arial" w:eastAsia="Arial" w:hAnsi="Arial"/>
          <w:sz w:val="16"/>
          <w:szCs w:val="16"/>
          <w:color w:val="0048E0"/>
        </w:rPr>
        <w:t xml:space="preserve"> </w:t>
      </w:r>
      <w:r>
        <w:rPr>
          <w:rFonts w:ascii="Arial" w:cs="Arial" w:eastAsia="Arial" w:hAnsi="Arial"/>
          <w:sz w:val="16"/>
          <w:szCs w:val="16"/>
          <w:color w:val="000000"/>
        </w:rPr>
        <w:t>The NEOs were successful in accomplishing several of their 2019 objectives, including successfully divesting of certain non-core business activities, digitizing several aspects of our back office functions to improve efficiencies and reduce cost, launching the myWorld portal in several lines of business to allow customers to manage their fuel purchases online using automated functionality, and expanding our talent development program through, among other things, the implementation of various rotational and internship opportunities. However, the Committee determined that the strategic objectives had not been fully accomplished to some degree by each of the NEOs. Accordingly, the Committee decided to exercise its negative discretion by reducing the value of the strategic objective cash incentive awards, such that Mr. Kasbar received $525,000, Mr. Birns received $240,000, Mr. Smith received $195,000, Mr. Crosby received $82,500 and Mr. Rau received $120,000.</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0048E0"/>
        </w:rPr>
        <w:t>Long-Term Incentive Awards</w:t>
      </w:r>
    </w:p>
    <w:p>
      <w:pPr>
        <w:spacing w:after="0" w:line="225" w:lineRule="exact"/>
        <w:rPr>
          <w:sz w:val="20"/>
          <w:szCs w:val="20"/>
          <w:color w:val="auto"/>
        </w:rPr>
      </w:pPr>
    </w:p>
    <w:p>
      <w:pPr>
        <w:ind w:left="620"/>
        <w:spacing w:after="0"/>
        <w:tabs>
          <w:tab w:leader="none" w:pos="2520" w:val="left"/>
        </w:tabs>
        <w:rPr>
          <w:sz w:val="20"/>
          <w:szCs w:val="20"/>
          <w:color w:val="auto"/>
        </w:rPr>
      </w:pPr>
      <w:r>
        <w:rPr>
          <w:rFonts w:ascii="Arial" w:cs="Arial" w:eastAsia="Arial" w:hAnsi="Arial"/>
          <w:sz w:val="18"/>
          <w:szCs w:val="18"/>
          <w:u w:val="single" w:color="auto"/>
          <w:color w:val="0048E0"/>
        </w:rPr>
        <w:t>Performance Share Plan.</w:t>
      </w:r>
      <w:r>
        <w:rPr>
          <w:sz w:val="20"/>
          <w:szCs w:val="20"/>
          <w:color w:val="auto"/>
        </w:rPr>
        <w:tab/>
      </w:r>
      <w:r>
        <w:rPr>
          <w:rFonts w:ascii="Arial" w:cs="Arial" w:eastAsia="Arial" w:hAnsi="Arial"/>
          <w:sz w:val="15"/>
          <w:szCs w:val="15"/>
          <w:color w:val="auto"/>
        </w:rPr>
        <w:t>The 2019 financial year was the final year of the three-year performance period for the PSP award granted to</w:t>
      </w:r>
    </w:p>
    <w:p>
      <w:pPr>
        <w:spacing w:after="0" w:line="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Messrs. Kasbar, Birns, Crosby and Rau in 2017 (the "2017 PSP"). The Committee determined that the EPS Growth for the 2017 PSP, including adjustments for non-operational items such as acquisition-related charges, restructuring-related costs, and gains or losses on business dispositions or extinguishment of debt, had been met between the threshold and target levels as set forth below:</w:t>
      </w:r>
    </w:p>
    <w:p>
      <w:pPr>
        <w:spacing w:after="0" w:line="206" w:lineRule="exact"/>
        <w:rPr>
          <w:sz w:val="20"/>
          <w:szCs w:val="20"/>
          <w:color w:val="auto"/>
        </w:rPr>
      </w:pPr>
    </w:p>
    <w:tbl>
      <w:tblPr>
        <w:tblLayout w:type="fixed"/>
        <w:tblInd w:w="2250" w:type="dxa"/>
        <w:tblCellMar>
          <w:top w:w="0" w:type="dxa"/>
          <w:left w:w="0" w:type="dxa"/>
          <w:bottom w:w="0" w:type="dxa"/>
          <w:right w:w="0" w:type="dxa"/>
        </w:tblCellMar>
      </w:tblPr>
      <w:tr>
        <w:trPr>
          <w:trHeight w:val="430"/>
        </w:trPr>
        <w:tc>
          <w:tcPr>
            <w:tcW w:w="3920" w:type="dxa"/>
            <w:vAlign w:val="bottom"/>
            <w:tcBorders>
              <w:left w:val="single" w:sz="8" w:color="auto"/>
            </w:tcBorders>
            <w:shd w:val="clear" w:color="auto" w:fill="00529B"/>
          </w:tcPr>
          <w:p>
            <w:pPr>
              <w:ind w:left="500"/>
              <w:spacing w:after="0"/>
              <w:rPr>
                <w:sz w:val="20"/>
                <w:szCs w:val="20"/>
                <w:color w:val="auto"/>
              </w:rPr>
            </w:pPr>
            <w:r>
              <w:rPr>
                <w:rFonts w:ascii="Arial" w:cs="Arial" w:eastAsia="Arial" w:hAnsi="Arial"/>
                <w:sz w:val="18"/>
                <w:szCs w:val="18"/>
                <w:b w:val="1"/>
                <w:bCs w:val="1"/>
                <w:color w:val="FFFFFE"/>
              </w:rPr>
              <w:t>Performance Level</w:t>
            </w:r>
          </w:p>
        </w:tc>
        <w:tc>
          <w:tcPr>
            <w:tcW w:w="2120" w:type="dxa"/>
            <w:vAlign w:val="bottom"/>
            <w:shd w:val="clear" w:color="auto" w:fill="00529B"/>
          </w:tcPr>
          <w:p>
            <w:pPr>
              <w:spacing w:after="0"/>
              <w:rPr>
                <w:sz w:val="24"/>
                <w:szCs w:val="24"/>
                <w:color w:val="auto"/>
              </w:rPr>
            </w:pPr>
          </w:p>
        </w:tc>
        <w:tc>
          <w:tcPr>
            <w:tcW w:w="720" w:type="dxa"/>
            <w:vAlign w:val="bottom"/>
            <w:tcBorders>
              <w:right w:val="single" w:sz="8" w:color="00529B"/>
            </w:tcBorders>
            <w:shd w:val="clear" w:color="auto" w:fill="00529B"/>
          </w:tcPr>
          <w:p>
            <w:pPr>
              <w:jc w:val="right"/>
              <w:ind w:right="292"/>
              <w:spacing w:after="0"/>
              <w:rPr>
                <w:sz w:val="20"/>
                <w:szCs w:val="20"/>
                <w:color w:val="auto"/>
              </w:rPr>
            </w:pPr>
            <w:r>
              <w:rPr>
                <w:rFonts w:ascii="Arial" w:cs="Arial" w:eastAsia="Arial" w:hAnsi="Arial"/>
                <w:sz w:val="18"/>
                <w:szCs w:val="18"/>
                <w:b w:val="1"/>
                <w:bCs w:val="1"/>
                <w:color w:val="FFFFFE"/>
                <w:w w:val="88"/>
              </w:rPr>
              <w:t>EPS</w:t>
            </w:r>
          </w:p>
        </w:tc>
      </w:tr>
      <w:tr>
        <w:trPr>
          <w:trHeight w:val="218"/>
        </w:trPr>
        <w:tc>
          <w:tcPr>
            <w:tcW w:w="3920" w:type="dxa"/>
            <w:vAlign w:val="bottom"/>
            <w:tcBorders>
              <w:left w:val="single" w:sz="8" w:color="auto"/>
            </w:tcBorders>
            <w:shd w:val="clear" w:color="auto" w:fill="00529B"/>
          </w:tcPr>
          <w:p>
            <w:pPr>
              <w:spacing w:after="0"/>
              <w:rPr>
                <w:sz w:val="18"/>
                <w:szCs w:val="18"/>
                <w:color w:val="auto"/>
              </w:rPr>
            </w:pPr>
          </w:p>
        </w:tc>
        <w:tc>
          <w:tcPr>
            <w:tcW w:w="2120" w:type="dxa"/>
            <w:vAlign w:val="bottom"/>
            <w:shd w:val="clear" w:color="auto" w:fill="00529B"/>
          </w:tcPr>
          <w:p>
            <w:pPr>
              <w:spacing w:after="0"/>
              <w:rPr>
                <w:sz w:val="18"/>
                <w:szCs w:val="18"/>
                <w:color w:val="auto"/>
              </w:rPr>
            </w:pPr>
          </w:p>
        </w:tc>
        <w:tc>
          <w:tcPr>
            <w:tcW w:w="720" w:type="dxa"/>
            <w:vAlign w:val="bottom"/>
            <w:tcBorders>
              <w:right w:val="single" w:sz="8" w:color="00529B"/>
            </w:tcBorders>
            <w:shd w:val="clear" w:color="auto" w:fill="00529B"/>
          </w:tcPr>
          <w:p>
            <w:pPr>
              <w:spacing w:after="0"/>
              <w:rPr>
                <w:sz w:val="18"/>
                <w:szCs w:val="18"/>
                <w:color w:val="auto"/>
              </w:rPr>
            </w:pPr>
          </w:p>
        </w:tc>
      </w:tr>
      <w:tr>
        <w:trPr>
          <w:trHeight w:val="216"/>
        </w:trPr>
        <w:tc>
          <w:tcPr>
            <w:tcW w:w="3920" w:type="dxa"/>
            <w:vAlign w:val="bottom"/>
            <w:tcBorders>
              <w:left w:val="single" w:sz="8" w:color="auto"/>
            </w:tcBorders>
          </w:tcPr>
          <w:p>
            <w:pPr>
              <w:ind w:left="320"/>
              <w:spacing w:after="0"/>
              <w:rPr>
                <w:sz w:val="20"/>
                <w:szCs w:val="20"/>
                <w:color w:val="auto"/>
              </w:rPr>
            </w:pPr>
            <w:r>
              <w:rPr>
                <w:rFonts w:ascii="Arial" w:cs="Arial" w:eastAsia="Arial" w:hAnsi="Arial"/>
                <w:sz w:val="18"/>
                <w:szCs w:val="18"/>
                <w:b w:val="1"/>
                <w:bCs w:val="1"/>
                <w:color w:val="auto"/>
              </w:rPr>
              <w:t>Threshold</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232"/>
              <w:spacing w:after="0"/>
              <w:rPr>
                <w:sz w:val="20"/>
                <w:szCs w:val="20"/>
                <w:color w:val="auto"/>
              </w:rPr>
            </w:pPr>
            <w:r>
              <w:rPr>
                <w:rFonts w:ascii="Arial" w:cs="Arial" w:eastAsia="Arial" w:hAnsi="Arial"/>
                <w:sz w:val="18"/>
                <w:szCs w:val="18"/>
                <w:color w:val="auto"/>
              </w:rPr>
              <w:t>2.61</w:t>
            </w:r>
          </w:p>
        </w:tc>
      </w:tr>
      <w:tr>
        <w:trPr>
          <w:trHeight w:val="216"/>
        </w:trPr>
        <w:tc>
          <w:tcPr>
            <w:tcW w:w="3920" w:type="dxa"/>
            <w:vAlign w:val="bottom"/>
            <w:tcBorders>
              <w:left w:val="single" w:sz="8" w:color="auto"/>
            </w:tcBorders>
            <w:shd w:val="clear" w:color="auto" w:fill="DFE3F1"/>
          </w:tcPr>
          <w:p>
            <w:pPr>
              <w:ind w:left="320"/>
              <w:spacing w:after="0"/>
              <w:rPr>
                <w:sz w:val="20"/>
                <w:szCs w:val="20"/>
                <w:color w:val="auto"/>
              </w:rPr>
            </w:pPr>
            <w:r>
              <w:rPr>
                <w:rFonts w:ascii="Arial" w:cs="Arial" w:eastAsia="Arial" w:hAnsi="Arial"/>
                <w:sz w:val="18"/>
                <w:szCs w:val="18"/>
                <w:b w:val="1"/>
                <w:bCs w:val="1"/>
                <w:color w:val="auto"/>
              </w:rPr>
              <w:t>Target</w:t>
            </w:r>
          </w:p>
        </w:tc>
        <w:tc>
          <w:tcPr>
            <w:tcW w:w="2120" w:type="dxa"/>
            <w:vAlign w:val="bottom"/>
            <w:shd w:val="clear" w:color="auto" w:fill="DFE3F1"/>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DFE3F1"/>
          </w:tcPr>
          <w:p>
            <w:pPr>
              <w:jc w:val="right"/>
              <w:ind w:right="232"/>
              <w:spacing w:after="0"/>
              <w:rPr>
                <w:sz w:val="20"/>
                <w:szCs w:val="20"/>
                <w:color w:val="auto"/>
              </w:rPr>
            </w:pPr>
            <w:r>
              <w:rPr>
                <w:rFonts w:ascii="Arial" w:cs="Arial" w:eastAsia="Arial" w:hAnsi="Arial"/>
                <w:sz w:val="18"/>
                <w:szCs w:val="18"/>
                <w:color w:val="auto"/>
              </w:rPr>
              <w:t>2.90</w:t>
            </w:r>
          </w:p>
        </w:tc>
      </w:tr>
      <w:tr>
        <w:trPr>
          <w:trHeight w:val="216"/>
        </w:trPr>
        <w:tc>
          <w:tcPr>
            <w:tcW w:w="3920" w:type="dxa"/>
            <w:vAlign w:val="bottom"/>
            <w:tcBorders>
              <w:left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Maximum</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3.39</w:t>
            </w:r>
          </w:p>
        </w:tc>
      </w:tr>
      <w:tr>
        <w:trPr>
          <w:trHeight w:val="230"/>
        </w:trPr>
        <w:tc>
          <w:tcPr>
            <w:tcW w:w="3920" w:type="dxa"/>
            <w:vAlign w:val="bottom"/>
            <w:tcBorders>
              <w:left w:val="single" w:sz="8" w:color="auto"/>
              <w:bottom w:val="single" w:sz="8" w:color="0048E0"/>
            </w:tcBorders>
            <w:shd w:val="clear" w:color="auto" w:fill="DFE3F1"/>
          </w:tcPr>
          <w:p>
            <w:pPr>
              <w:ind w:left="320"/>
              <w:spacing w:after="0"/>
              <w:rPr>
                <w:sz w:val="20"/>
                <w:szCs w:val="20"/>
                <w:color w:val="auto"/>
              </w:rPr>
            </w:pPr>
            <w:r>
              <w:rPr>
                <w:rFonts w:ascii="Arial" w:cs="Arial" w:eastAsia="Arial" w:hAnsi="Arial"/>
                <w:sz w:val="18"/>
                <w:szCs w:val="18"/>
                <w:b w:val="1"/>
                <w:bCs w:val="1"/>
                <w:color w:val="auto"/>
              </w:rPr>
              <w:t>Actual</w:t>
            </w:r>
          </w:p>
        </w:tc>
        <w:tc>
          <w:tcPr>
            <w:tcW w:w="2120" w:type="dxa"/>
            <w:vAlign w:val="bottom"/>
            <w:tcBorders>
              <w:bottom w:val="single" w:sz="8" w:color="0048E0"/>
            </w:tcBorders>
            <w:shd w:val="clear" w:color="auto" w:fill="DFE3F1"/>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0048E0"/>
              <w:right w:val="single" w:sz="8" w:color="auto"/>
            </w:tcBorders>
            <w:shd w:val="clear" w:color="auto" w:fill="DFE3F1"/>
          </w:tcPr>
          <w:p>
            <w:pPr>
              <w:jc w:val="right"/>
              <w:ind w:right="232"/>
              <w:spacing w:after="0"/>
              <w:rPr>
                <w:sz w:val="20"/>
                <w:szCs w:val="20"/>
                <w:color w:val="auto"/>
              </w:rPr>
            </w:pPr>
            <w:r>
              <w:rPr>
                <w:rFonts w:ascii="Arial" w:cs="Arial" w:eastAsia="Arial" w:hAnsi="Arial"/>
                <w:sz w:val="18"/>
                <w:szCs w:val="18"/>
                <w:color w:val="auto"/>
              </w:rPr>
              <w:t>2.79</w:t>
            </w:r>
          </w:p>
        </w:tc>
      </w:tr>
    </w:tbl>
    <w:p>
      <w:pPr>
        <w:spacing w:after="0" w:line="208" w:lineRule="exact"/>
        <w:rPr>
          <w:sz w:val="20"/>
          <w:szCs w:val="20"/>
          <w:color w:val="auto"/>
        </w:rPr>
      </w:pPr>
    </w:p>
    <w:p>
      <w:pPr>
        <w:ind w:firstLine="614"/>
        <w:spacing w:after="0" w:line="259" w:lineRule="auto"/>
        <w:rPr>
          <w:sz w:val="20"/>
          <w:szCs w:val="20"/>
          <w:color w:val="auto"/>
        </w:rPr>
      </w:pPr>
      <w:r>
        <w:rPr>
          <w:rFonts w:ascii="Arial" w:cs="Arial" w:eastAsia="Arial" w:hAnsi="Arial"/>
          <w:sz w:val="18"/>
          <w:szCs w:val="18"/>
          <w:color w:val="auto"/>
        </w:rPr>
        <w:t>Consequently, the Committee determined that the NEOs had earned 81% of the RSUs granted under the 2017 PSP awards. The three-year performance periods for the 2018 and 2019 PSP awards have not yet passed, therefore, the Committee did not make a determination with respect to our EPS Growth for those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Employee Benefits and Executive Perquisites</w:t>
      </w:r>
    </w:p>
    <w:p>
      <w:pPr>
        <w:spacing w:after="0" w:line="231" w:lineRule="exact"/>
        <w:rPr>
          <w:sz w:val="20"/>
          <w:szCs w:val="20"/>
          <w:color w:val="auto"/>
        </w:rPr>
      </w:pPr>
    </w:p>
    <w:p>
      <w:pPr>
        <w:ind w:right="100" w:firstLine="611"/>
        <w:spacing w:after="0" w:line="251" w:lineRule="auto"/>
        <w:rPr>
          <w:sz w:val="20"/>
          <w:szCs w:val="20"/>
          <w:color w:val="auto"/>
        </w:rPr>
      </w:pPr>
      <w:r>
        <w:rPr>
          <w:rFonts w:ascii="Arial" w:cs="Arial" w:eastAsia="Arial" w:hAnsi="Arial"/>
          <w:sz w:val="18"/>
          <w:szCs w:val="18"/>
          <w:color w:val="auto"/>
        </w:rPr>
        <w:t>We provide only standard employee benefits and limited perquisites to our NEOs. These are described below and reflected in the "All Other Compensation" column of the "Summary Compensation Table" and the accompanying footnote. The total amount of employee benefits and executive perquisites provided to the NEOs during 2019 represents only a small percentage of each NEO's total compensation and are comprised of those benefits which we believe are necessary to attract and retain executives. We believe that these benefits and perquisites are competitive in our industry and consistent with our overall compensation philosophy</w:t>
      </w:r>
    </w:p>
    <w:p>
      <w:pPr>
        <w:spacing w:after="0" w:line="4" w:lineRule="exact"/>
        <w:rPr>
          <w:sz w:val="20"/>
          <w:szCs w:val="20"/>
          <w:color w:val="auto"/>
        </w:rPr>
      </w:pPr>
    </w:p>
    <w:p>
      <w:pPr>
        <w:ind w:left="6360"/>
        <w:spacing w:after="0"/>
        <w:tabs>
          <w:tab w:leader="none" w:pos="9060" w:val="left"/>
          <w:tab w:leader="none" w:pos="9300" w:val="left"/>
          <w:tab w:leader="none" w:pos="110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Retirement and Deferred Compensation</w:t>
      </w:r>
    </w:p>
    <w:p>
      <w:pPr>
        <w:spacing w:after="0" w:line="225" w:lineRule="exact"/>
        <w:rPr>
          <w:sz w:val="20"/>
          <w:szCs w:val="20"/>
          <w:color w:val="auto"/>
        </w:rPr>
      </w:pPr>
    </w:p>
    <w:p>
      <w:pPr>
        <w:ind w:right="100" w:firstLine="611"/>
        <w:spacing w:after="0" w:line="294" w:lineRule="auto"/>
        <w:rPr>
          <w:sz w:val="20"/>
          <w:szCs w:val="20"/>
          <w:color w:val="auto"/>
        </w:rPr>
      </w:pPr>
      <w:r>
        <w:rPr>
          <w:rFonts w:ascii="Arial" w:cs="Arial" w:eastAsia="Arial" w:hAnsi="Arial"/>
          <w:sz w:val="16"/>
          <w:szCs w:val="16"/>
          <w:color w:val="auto"/>
        </w:rPr>
        <w:t>We maintain the World Fuel Services Corporation 401(k) Profit Sharing Plan, or our 401(k) Plan, to enable eligible employees to save for retirement through a tax-advantaged combination of elective employee contributions and our matching contributions. The 401(k) Plan allows eligible employees, including our NEOs, to elect to contribute a percentage of their eligible compensation on a pre-tax basis, up to the maximum dollar amounts permitted by law. In 2019, the maximum employee elective contribution to the 401(k) Plan was $19,000, plus an additional $6,000 for employees who were at least 50 years old in 2019. For 2019, we matched 50% of the first 6% of eligible compensation that each eligible participant elected to contribute to the 401(k) Plan.</w:t>
      </w:r>
    </w:p>
    <w:p>
      <w:pPr>
        <w:spacing w:after="0" w:line="169"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do not maintain any pension, supplemental executive retirement plan or other defined benefit retirement plans for our NEOs. However, we do permit that our NEOs participate in the non-qualified deferred compensation plan, or NQDC, that we offer to other senior employees based in the United States ("U.S."). As discussed under "Non-Qualified Deferred Compensation" later in this proxy, pursuant to the NQDC, participants may defer up to 75% of their base salary and up to 90% of any annual bonus, on a pre-tax basis, and an additional amount equal to any "excess contributions" that are refunded to them from the 401(k) Plan. We do not match any participant deferrals under the NQDC. During 2019, only Mr. Smith contributed to the NQDC. In addition, Mr. Kasbar also has a deferred compensation balance which arose as a result of his prior employment agreement that provided that any bonus payable to him that would not be deductible under Section 162(m) of the Code ("Section 162(m)") for the year earned would be deferred until a fiscal year in which it would be deductible. Payment of the deferred bonus would be made in all events in the year in which Mr. Kasbar's employment terminates or the employment agreement expires. Any amount deferred in this manner is being credited with interest at the prime rate as published in the Wall Street Journal.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Other Benefits and Perquisites</w:t>
      </w:r>
    </w:p>
    <w:p>
      <w:pPr>
        <w:spacing w:after="0" w:line="225" w:lineRule="exact"/>
        <w:rPr>
          <w:sz w:val="20"/>
          <w:szCs w:val="20"/>
          <w:color w:val="auto"/>
        </w:rPr>
      </w:pPr>
    </w:p>
    <w:p>
      <w:pPr>
        <w:ind w:right="40" w:firstLine="614"/>
        <w:spacing w:after="0" w:line="290" w:lineRule="auto"/>
        <w:rPr>
          <w:sz w:val="20"/>
          <w:szCs w:val="20"/>
          <w:color w:val="auto"/>
        </w:rPr>
      </w:pPr>
      <w:r>
        <w:rPr>
          <w:rFonts w:ascii="Arial" w:cs="Arial" w:eastAsia="Arial" w:hAnsi="Arial"/>
          <w:sz w:val="16"/>
          <w:szCs w:val="16"/>
          <w:color w:val="auto"/>
        </w:rPr>
        <w:t>Our NEOs are eligible for the same health and welfare benefits as are available to all our eligible employees during active employment. These benefits include medical, dental, vision, short- and long-term disability and term life insurance and accidental death and dismemberment coverage. Our NEOs receive additional individual disability insurance coverage and are eligible for additional executive life insurance coverage. We pay the entire cost of coverage of the term life insurance and executive life insurance as well as short-term disability and for Messrs. Kasbar and Birns, a portion of the cost of coverage for medical and dental insurance. Messrs. Kasbar, Birns, Crosby and Rau are also provided with a country club membership to be used for business entertainment purposes and to facilitate business meetings. Mr. Smith was also provided relocation services for a period of two years when he joined the Company in November 2017 and transitioned to our headquarters in Miami, Florida.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Agreements with Executives</w:t>
      </w:r>
    </w:p>
    <w:p>
      <w:pPr>
        <w:spacing w:after="0" w:line="231" w:lineRule="exact"/>
        <w:rPr>
          <w:sz w:val="20"/>
          <w:szCs w:val="20"/>
          <w:color w:val="auto"/>
        </w:rPr>
      </w:pPr>
    </w:p>
    <w:p>
      <w:pPr>
        <w:ind w:right="340" w:firstLine="614"/>
        <w:spacing w:after="0" w:line="251" w:lineRule="auto"/>
        <w:rPr>
          <w:sz w:val="20"/>
          <w:szCs w:val="20"/>
          <w:color w:val="auto"/>
        </w:rPr>
      </w:pPr>
      <w:r>
        <w:rPr>
          <w:rFonts w:ascii="Arial" w:cs="Arial" w:eastAsia="Arial" w:hAnsi="Arial"/>
          <w:sz w:val="18"/>
          <w:szCs w:val="18"/>
          <w:color w:val="auto"/>
        </w:rPr>
        <w:t>Our Committee believes that it is important to protect our intellectual capital. Accordingly, we have agreements and an executive severance policy with respect to our NEOs that provide consideration for, and thus ensure the effectiveness of, important non-compete and other restrictive covenants and consulting obligations applicable under such agreements or policy following termination of employment. The Committee believes that these arrangements serve to encourage the continued attention and dedication of the executives to their assigned duties and mitigate the uncertainty and questions a potential change of control may raise among executives. The Committee also believes these arrangements are appropriate and necessary to attract and retain these executives.</w:t>
      </w:r>
    </w:p>
    <w:p>
      <w:pPr>
        <w:spacing w:after="0" w:line="4"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4"/>
        <w:spacing w:after="0" w:line="294" w:lineRule="auto"/>
        <w:rPr>
          <w:sz w:val="20"/>
          <w:szCs w:val="20"/>
          <w:color w:val="auto"/>
        </w:rPr>
      </w:pPr>
      <w:r>
        <w:rPr>
          <w:rFonts w:ascii="Arial" w:cs="Arial" w:eastAsia="Arial" w:hAnsi="Arial"/>
          <w:sz w:val="16"/>
          <w:szCs w:val="16"/>
          <w:color w:val="auto"/>
        </w:rPr>
        <w:t>Our Committee generally views the potential payments and benefits payable under a termination or change of control scenario as a separate compensation element because such payments and benefits are not expected to be paid in a particular year and serve a different purpose for the executive than other elements of compensation. Accordingly, those payments and benefits do not significantly affect decisions regarding other elements of compensation. See "Potential Payments upon Termination of Employment or Change of Control" beginning on page 60 of this proxy statement for a discussion of these arrangements and certain compensation and benefits that will be provided in the event of the termination of the employment of our NEOs.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Equity Grant Practices</w:t>
      </w:r>
    </w:p>
    <w:p>
      <w:pPr>
        <w:spacing w:after="0" w:line="231" w:lineRule="exact"/>
        <w:rPr>
          <w:sz w:val="20"/>
          <w:szCs w:val="20"/>
          <w:color w:val="auto"/>
        </w:rPr>
      </w:pPr>
    </w:p>
    <w:p>
      <w:pPr>
        <w:ind w:right="460" w:firstLine="614"/>
        <w:spacing w:after="0" w:line="298" w:lineRule="auto"/>
        <w:rPr>
          <w:sz w:val="20"/>
          <w:szCs w:val="20"/>
          <w:color w:val="auto"/>
        </w:rPr>
      </w:pPr>
      <w:r>
        <w:rPr>
          <w:rFonts w:ascii="Arial" w:cs="Arial" w:eastAsia="Arial" w:hAnsi="Arial"/>
          <w:sz w:val="16"/>
          <w:szCs w:val="16"/>
          <w:color w:val="auto"/>
        </w:rPr>
        <w:t>Our equity grant policy provides that equity grants made to NEOs related to prior year performance will be effective on March 15 of each year. Retention, promotion and performance share awards are typically granted in March of each year on the 15th or 31st. Annual grants of equity awards to directors are made on the date that the director is elected or re-elected to the Board. Grants made to new hires or existing employees (excluding executive officers) are made effective on one of the following quarterly dates per year: February 10, May 10, August 10 and November 10.</w:t>
      </w:r>
    </w:p>
    <w:p>
      <w:pPr>
        <w:spacing w:after="0" w:line="166" w:lineRule="exact"/>
        <w:rPr>
          <w:sz w:val="20"/>
          <w:szCs w:val="20"/>
          <w:color w:val="auto"/>
        </w:rPr>
      </w:pPr>
    </w:p>
    <w:p>
      <w:pPr>
        <w:ind w:right="140" w:firstLine="614"/>
        <w:spacing w:after="0" w:line="256" w:lineRule="auto"/>
        <w:rPr>
          <w:sz w:val="20"/>
          <w:szCs w:val="20"/>
          <w:color w:val="auto"/>
        </w:rPr>
      </w:pPr>
      <w:r>
        <w:rPr>
          <w:rFonts w:ascii="Arial" w:cs="Arial" w:eastAsia="Arial" w:hAnsi="Arial"/>
          <w:sz w:val="18"/>
          <w:szCs w:val="18"/>
          <w:color w:val="auto"/>
        </w:rPr>
        <w:t>Under the terms of the 2016 Omnibus Plan, we are not permitted to cancel outstanding stock options or SSARs for the purpose of re-pricing or otherwise replacing or re-granting such options or SSARs with an exercise or conversion price that is less than the exercise or conversion price of the original stock option or SSAR without shareholder consent. We do not have a program, plan or practice of timing equity award grants in order to benefit our executive officers or in coordination with the release of material non-public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Tax and Accounting Implications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Deductibility of Executive Compensation</w:t>
      </w:r>
    </w:p>
    <w:p>
      <w:pPr>
        <w:spacing w:after="0" w:line="225" w:lineRule="exact"/>
        <w:rPr>
          <w:sz w:val="20"/>
          <w:szCs w:val="20"/>
          <w:color w:val="auto"/>
        </w:rPr>
      </w:pPr>
    </w:p>
    <w:p>
      <w:pPr>
        <w:ind w:right="40" w:firstLine="614"/>
        <w:spacing w:after="0" w:line="288" w:lineRule="auto"/>
        <w:rPr>
          <w:sz w:val="20"/>
          <w:szCs w:val="20"/>
          <w:color w:val="auto"/>
        </w:rPr>
      </w:pPr>
      <w:r>
        <w:rPr>
          <w:rFonts w:ascii="Arial" w:cs="Arial" w:eastAsia="Arial" w:hAnsi="Arial"/>
          <w:sz w:val="16"/>
          <w:szCs w:val="16"/>
          <w:color w:val="auto"/>
        </w:rPr>
        <w:t>Section 162(m) generally limits the U.S. federal income tax deduction for compensation paid to each of our NEOs to a maximum of $1 million in any calendar year (the "Deduction Limit"). For fiscal years prior to 2018, we were also permitted to deduct compensation to our NEOs in excess of the Deduction Limit (other than our Chief Financial Officer, who prior to 2018 was not subject to the Deduction Limit), if the compensation qualified as "performance-based" as defined under Section 162(m). To qualify as performance-based, certain pre-established objective performance goals or certain other conditions were required to be met. The Committee generally sought to structure incentive awards for our NEOs in a manner that preserved the tax deductibility of the compensation under the performance-based exemption. However, with the enactment of the Tax Cuts and Jobs Act in December 2017, the performance-based exception was eliminated, other than with respect to payments made pursuant to certain grandfathered arrangements. We believe that the 2017 PSP awards earned by the NEOs in 2019 qualify as performance-based compensation under the applicable grandfathering rules.</w:t>
      </w:r>
    </w:p>
    <w:p>
      <w:pPr>
        <w:spacing w:after="0" w:line="178" w:lineRule="exact"/>
        <w:rPr>
          <w:sz w:val="20"/>
          <w:szCs w:val="20"/>
          <w:color w:val="auto"/>
        </w:rPr>
      </w:pPr>
    </w:p>
    <w:p>
      <w:pPr>
        <w:ind w:right="160" w:firstLine="611"/>
        <w:spacing w:after="0" w:line="252" w:lineRule="auto"/>
        <w:rPr>
          <w:sz w:val="20"/>
          <w:szCs w:val="20"/>
          <w:color w:val="auto"/>
        </w:rPr>
      </w:pPr>
      <w:r>
        <w:rPr>
          <w:rFonts w:ascii="Arial" w:cs="Arial" w:eastAsia="Arial" w:hAnsi="Arial"/>
          <w:sz w:val="18"/>
          <w:szCs w:val="18"/>
          <w:color w:val="auto"/>
        </w:rPr>
        <w:t>While the Committee considers tax implications as a factor in determining executive compensation, the Committee will continue to link pay with performance and consider other factors as noted above, including the long-term interests of our shareholders and other stakeholders. Accordingly, the Committee retains the flexibility to structure, where appropriate, compensation arrangements that are consistent with the goals of our executive compensation program, even if the awards are not deductible for tax purposes.</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Accounting for Share-Based Compensation</w:t>
      </w:r>
    </w:p>
    <w:p>
      <w:pPr>
        <w:spacing w:after="0" w:line="225" w:lineRule="exact"/>
        <w:rPr>
          <w:sz w:val="20"/>
          <w:szCs w:val="20"/>
          <w:color w:val="auto"/>
        </w:rPr>
      </w:pPr>
    </w:p>
    <w:p>
      <w:pPr>
        <w:ind w:right="20" w:firstLine="614"/>
        <w:spacing w:after="0" w:line="256" w:lineRule="auto"/>
        <w:rPr>
          <w:sz w:val="20"/>
          <w:szCs w:val="20"/>
          <w:color w:val="auto"/>
        </w:rPr>
      </w:pPr>
      <w:r>
        <w:rPr>
          <w:rFonts w:ascii="Arial" w:cs="Arial" w:eastAsia="Arial" w:hAnsi="Arial"/>
          <w:sz w:val="18"/>
          <w:szCs w:val="18"/>
          <w:color w:val="auto"/>
        </w:rPr>
        <w:t>Before granting equity-based compensation awards, the Committee considers the accounting impact of the award, including the compensation cost and the grant date fair value, as structured and under various other scenarios in order to analyze the expected impact of the award. We expense the cost of our NEOs' equity-based compensation in accordance with the fair value method contained in the Financial Accounting Standards Board Accounting Standards Codification (FASB ASC)—"Compensation—Stock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Stock Ownership Policies</w:t>
      </w:r>
    </w:p>
    <w:p>
      <w:pPr>
        <w:spacing w:after="0" w:line="225" w:lineRule="exact"/>
        <w:rPr>
          <w:sz w:val="20"/>
          <w:szCs w:val="20"/>
          <w:color w:val="auto"/>
        </w:rPr>
      </w:pPr>
    </w:p>
    <w:p>
      <w:pPr>
        <w:ind w:right="220" w:firstLine="611"/>
        <w:spacing w:after="0" w:line="331" w:lineRule="auto"/>
        <w:rPr>
          <w:sz w:val="20"/>
          <w:szCs w:val="20"/>
          <w:color w:val="auto"/>
        </w:rPr>
      </w:pPr>
      <w:r>
        <w:rPr>
          <w:rFonts w:ascii="Arial" w:cs="Arial" w:eastAsia="Arial" w:hAnsi="Arial"/>
          <w:sz w:val="16"/>
          <w:szCs w:val="16"/>
          <w:color w:val="auto"/>
        </w:rPr>
        <w:t>The Committee has adopted robust stock retention requirements and stock ownership guidelines to align the interests of our NEOs with those of our shareholders and ensure that the executives responsible for overseeing operations have an ongoing financial stake in the Company's success.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Stock Retention Requirement</w:t>
      </w:r>
    </w:p>
    <w:p>
      <w:pPr>
        <w:spacing w:after="0" w:line="225" w:lineRule="exact"/>
        <w:rPr>
          <w:sz w:val="20"/>
          <w:szCs w:val="20"/>
          <w:color w:val="auto"/>
        </w:rPr>
      </w:pPr>
    </w:p>
    <w:p>
      <w:pPr>
        <w:ind w:right="80" w:firstLine="614"/>
        <w:spacing w:after="0" w:line="256" w:lineRule="auto"/>
        <w:rPr>
          <w:sz w:val="20"/>
          <w:szCs w:val="20"/>
          <w:color w:val="auto"/>
        </w:rPr>
      </w:pPr>
      <w:r>
        <w:rPr>
          <w:rFonts w:ascii="Arial" w:cs="Arial" w:eastAsia="Arial" w:hAnsi="Arial"/>
          <w:sz w:val="18"/>
          <w:szCs w:val="18"/>
          <w:color w:val="auto"/>
        </w:rPr>
        <w:t>Our NEOs are required to retain at least 50% of any shares acquired (net of any shares that would need to be withheld or sold to satisfy any applicable income and employment taxes relating to the award) pursuant to any equity award granted after they become an executive officer for three years after the shares are delivered (or until the individual ceases to be an executive officer of the Company, if earlier). All our NEOs are in compliance with these retention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Stock Ownership Requirement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NEOs are subject to the stock ownership guidelines set forth below, which are expressed as a multiple of base salary determined by leadership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level.</w:t>
      </w:r>
    </w:p>
    <w:p>
      <w:pPr>
        <w:spacing w:after="0" w:line="214"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180" w:type="dxa"/>
            <w:vAlign w:val="bottom"/>
          </w:tcPr>
          <w:p>
            <w:pPr>
              <w:spacing w:after="0"/>
              <w:rPr>
                <w:sz w:val="14"/>
                <w:szCs w:val="14"/>
                <w:color w:val="auto"/>
              </w:rPr>
            </w:pPr>
          </w:p>
        </w:tc>
        <w:tc>
          <w:tcPr>
            <w:tcW w:w="2260" w:type="dxa"/>
            <w:vAlign w:val="bottom"/>
            <w:gridSpan w:val="2"/>
          </w:tcPr>
          <w:p>
            <w:pPr>
              <w:ind w:left="360"/>
              <w:spacing w:after="0"/>
              <w:rPr>
                <w:sz w:val="20"/>
                <w:szCs w:val="20"/>
                <w:color w:val="auto"/>
              </w:rPr>
            </w:pPr>
            <w:r>
              <w:rPr>
                <w:rFonts w:ascii="Arial" w:cs="Arial" w:eastAsia="Arial" w:hAnsi="Arial"/>
                <w:sz w:val="13"/>
                <w:szCs w:val="13"/>
                <w:b w:val="1"/>
                <w:bCs w:val="1"/>
                <w:color w:val="auto"/>
              </w:rPr>
              <w:t>Multiple of Base Salary</w:t>
            </w:r>
          </w:p>
        </w:tc>
      </w:tr>
      <w:tr>
        <w:trPr>
          <w:trHeight w:val="209"/>
        </w:trPr>
        <w:tc>
          <w:tcPr>
            <w:tcW w:w="20" w:type="dxa"/>
            <w:vAlign w:val="bottom"/>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Chairman of the Board (if an executive officer)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Chief Operating Officer</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All Other Executive Officers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r>
    </w:tbl>
    <w:p>
      <w:pPr>
        <w:spacing w:after="0" w:line="201" w:lineRule="exact"/>
        <w:rPr>
          <w:sz w:val="20"/>
          <w:szCs w:val="20"/>
          <w:color w:val="auto"/>
        </w:rPr>
      </w:pPr>
    </w:p>
    <w:p>
      <w:pPr>
        <w:ind w:right="340" w:firstLine="611"/>
        <w:spacing w:after="0" w:line="298" w:lineRule="auto"/>
        <w:rPr>
          <w:sz w:val="20"/>
          <w:szCs w:val="20"/>
          <w:color w:val="auto"/>
        </w:rPr>
      </w:pPr>
      <w:r>
        <w:rPr>
          <w:rFonts w:ascii="Arial" w:cs="Arial" w:eastAsia="Arial" w:hAnsi="Arial"/>
          <w:sz w:val="16"/>
          <w:szCs w:val="16"/>
          <w:color w:val="auto"/>
        </w:rPr>
        <w:t>The stock ownership guidelines provide that executive officers must attain the applicable ownership requirement within five years of the date such individual becomes an executive officer. Equity vehicles that count towards compliance with the ownership requirement include: common stock, unvested time-based RSUs and the earned portion of performance-based awards. Unexercised stock options or stock appreciation rights, the unearned portion of performance-based awards and any shares of common stock that are pledged as collateral do not count towards the requirement.</w:t>
      </w:r>
    </w:p>
    <w:p>
      <w:pPr>
        <w:spacing w:after="0" w:line="166" w:lineRule="exact"/>
        <w:rPr>
          <w:sz w:val="20"/>
          <w:szCs w:val="20"/>
          <w:color w:val="auto"/>
        </w:rPr>
      </w:pPr>
    </w:p>
    <w:p>
      <w:pPr>
        <w:ind w:right="20" w:firstLine="611"/>
        <w:spacing w:after="0" w:line="283" w:lineRule="auto"/>
        <w:rPr>
          <w:sz w:val="20"/>
          <w:szCs w:val="20"/>
          <w:color w:val="auto"/>
        </w:rPr>
      </w:pPr>
      <w:r>
        <w:rPr>
          <w:rFonts w:ascii="Arial" w:cs="Arial" w:eastAsia="Arial" w:hAnsi="Arial"/>
          <w:sz w:val="16"/>
          <w:szCs w:val="16"/>
          <w:color w:val="auto"/>
        </w:rPr>
        <w:t>The Committee uses the three-year average closing stock price on the last trading day of each fiscal year to determine compliance and to manage against the risk of the NEOs falling out of compliance due to volatility in the stock price. The Committee has discretion to determine the penalties for non-compliance, including: requiring the payment of cash incentives in equity, instituting a higher equity retention requirement and reducing or eliminating incentive compensation. Furthermore, the Committee, in its discretion, may provide waivers, additional time to regain compliance or other appropriate relief on a case-by-case basis due to hardships, dispositions due to court-ordered domestic relations orders ("DROs") or in the event of extreme volatility in the Company's stock price. All of our NEOs are in compliance with the policy, although one NEO was granted temporary relief for 2019 due</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a required disposition of shares pursuant to a DRO. As of the date of this proxy statement, however, such NEO is in full compliance with the policy.</w:t>
      </w:r>
    </w:p>
    <w:p>
      <w:pPr>
        <w:spacing w:after="0" w:line="248" w:lineRule="exact"/>
        <w:rPr>
          <w:sz w:val="20"/>
          <w:szCs w:val="20"/>
          <w:color w:val="auto"/>
        </w:rPr>
      </w:pPr>
    </w:p>
    <w:p>
      <w:pPr>
        <w:ind w:right="460" w:firstLine="614"/>
        <w:spacing w:after="0" w:line="268" w:lineRule="auto"/>
        <w:rPr>
          <w:sz w:val="20"/>
          <w:szCs w:val="20"/>
          <w:color w:val="auto"/>
        </w:rPr>
      </w:pPr>
      <w:r>
        <w:rPr>
          <w:rFonts w:ascii="Arial" w:cs="Arial" w:eastAsia="Arial" w:hAnsi="Arial"/>
          <w:sz w:val="18"/>
          <w:szCs w:val="18"/>
          <w:color w:val="auto"/>
        </w:rPr>
        <w:t>Our directors are also subject to stock ownership requirements as described on page 33 of this proxy statement under "Director Stock Ownership Guidelines."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Derivatives, Hedging and Pledging Transactions</w:t>
      </w:r>
    </w:p>
    <w:p>
      <w:pPr>
        <w:spacing w:after="0" w:line="231" w:lineRule="exact"/>
        <w:rPr>
          <w:sz w:val="20"/>
          <w:szCs w:val="20"/>
          <w:color w:val="auto"/>
        </w:rPr>
      </w:pPr>
    </w:p>
    <w:p>
      <w:pPr>
        <w:ind w:right="40" w:firstLine="611"/>
        <w:spacing w:after="0" w:line="294" w:lineRule="auto"/>
        <w:rPr>
          <w:sz w:val="20"/>
          <w:szCs w:val="20"/>
          <w:color w:val="auto"/>
        </w:rPr>
      </w:pPr>
      <w:r>
        <w:rPr>
          <w:rFonts w:ascii="Arial" w:cs="Arial" w:eastAsia="Arial" w:hAnsi="Arial"/>
          <w:sz w:val="16"/>
          <w:szCs w:val="16"/>
          <w:color w:val="auto"/>
        </w:rPr>
        <w:t>We prohibit our directors, executive officers, employees and their respective related persons from engaging in hedging or monetization transactions, or any transaction that hedges or offsets, or is designed to hedge or offset, any decrease in the market value of the Company's securities, such as prepaid variable forward contracts, equity swaps, collars and exchange funds. We also do not allow our directors, executive officers, and employees to buy or sell publicly traded options based on our common stock or to engage in short sales of our securities. The purpose of these policies is to align the interests, including the economic risk of ownership, of directors, executive officers, employees and shareholders.</w:t>
      </w:r>
    </w:p>
    <w:p>
      <w:pPr>
        <w:spacing w:after="0" w:line="169" w:lineRule="exact"/>
        <w:rPr>
          <w:sz w:val="20"/>
          <w:szCs w:val="20"/>
          <w:color w:val="auto"/>
        </w:rPr>
      </w:pPr>
    </w:p>
    <w:p>
      <w:pPr>
        <w:ind w:right="140" w:firstLine="611"/>
        <w:spacing w:after="0" w:line="256" w:lineRule="auto"/>
        <w:rPr>
          <w:sz w:val="20"/>
          <w:szCs w:val="20"/>
          <w:color w:val="auto"/>
        </w:rPr>
      </w:pPr>
      <w:r>
        <w:rPr>
          <w:rFonts w:ascii="Arial" w:cs="Arial" w:eastAsia="Arial" w:hAnsi="Arial"/>
          <w:sz w:val="18"/>
          <w:szCs w:val="18"/>
          <w:color w:val="auto"/>
        </w:rPr>
        <w:t>We also discourage our directors, executive officers and employees from holding our common stock in a margin account or pledging our common stock as collateral for a loan. Any directors or executive officers who wish to pledge shares must first obtain the prior approval of our Chief Legal Officer and the Governance Committee. As noted above, any shares pledged as collateral will not count towards any executive officer's respective stock ownership requirement.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Compensation Committee Report on 2019 Executive Compensation</w:t>
      </w:r>
    </w:p>
    <w:p>
      <w:pPr>
        <w:spacing w:after="0" w:line="231" w:lineRule="exact"/>
        <w:rPr>
          <w:sz w:val="20"/>
          <w:szCs w:val="20"/>
          <w:color w:val="auto"/>
        </w:rPr>
      </w:pPr>
    </w:p>
    <w:p>
      <w:pPr>
        <w:ind w:right="80" w:firstLine="611"/>
        <w:spacing w:after="0" w:line="335" w:lineRule="auto"/>
        <w:rPr>
          <w:sz w:val="20"/>
          <w:szCs w:val="20"/>
          <w:color w:val="auto"/>
        </w:rPr>
      </w:pPr>
      <w:r>
        <w:rPr>
          <w:rFonts w:ascii="Arial" w:cs="Arial" w:eastAsia="Arial" w:hAnsi="Arial"/>
          <w:sz w:val="15"/>
          <w:szCs w:val="15"/>
          <w:color w:val="auto"/>
        </w:rPr>
        <w:t>The Committee is responsible for establishing and administering the executive compensation programs of the Company. 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 on Schedule 14A.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Ken Bakshi,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A. Kassar,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K. Roddenberry, Member</w:t>
      </w:r>
    </w:p>
    <w:p>
      <w:pPr>
        <w:spacing w:after="0" w:line="9"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7300" w:firstLine="8"/>
        <w:spacing w:after="0" w:line="520" w:lineRule="auto"/>
        <w:tabs>
          <w:tab w:leader="none" w:pos="674" w:val="left"/>
        </w:tabs>
        <w:numPr>
          <w:ilvl w:val="0"/>
          <w:numId w:val="37"/>
        </w:numPr>
        <w:rPr>
          <w:rFonts w:ascii="Arial" w:cs="Arial" w:eastAsia="Arial" w:hAnsi="Arial"/>
          <w:sz w:val="18"/>
          <w:szCs w:val="18"/>
          <w:b w:val="1"/>
          <w:bCs w:val="1"/>
          <w:color w:val="0048E0"/>
        </w:rPr>
      </w:pPr>
      <w:r>
        <w:rPr>
          <w:rFonts w:ascii="Arial" w:cs="Arial" w:eastAsia="Arial" w:hAnsi="Arial"/>
          <w:sz w:val="18"/>
          <w:szCs w:val="18"/>
          <w:b w:val="1"/>
          <w:bCs w:val="1"/>
          <w:color w:val="0048E0"/>
        </w:rPr>
        <w:t>EXECUTIVE COMPENSATION TABLES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300" w:firstLine="611"/>
        <w:spacing w:after="0" w:line="268" w:lineRule="auto"/>
        <w:rPr>
          <w:sz w:val="20"/>
          <w:szCs w:val="20"/>
          <w:color w:val="auto"/>
        </w:rPr>
      </w:pPr>
      <w:r>
        <w:rPr>
          <w:rFonts w:ascii="Arial" w:cs="Arial" w:eastAsia="Arial" w:hAnsi="Arial"/>
          <w:sz w:val="18"/>
          <w:szCs w:val="18"/>
          <w:color w:val="auto"/>
        </w:rPr>
        <w:t>The following table summarizes the "total compensation" of our named executive officers for the fiscal years ended December 31, 2019, 2018, and 2017 according to the rules promulgated by the SEC.</w:t>
      </w:r>
    </w:p>
    <w:p>
      <w:pPr>
        <w:spacing w:after="0" w:line="1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860" w:type="dxa"/>
            <w:vAlign w:val="bottom"/>
          </w:tcPr>
          <w:p>
            <w:pPr>
              <w:ind w:left="20"/>
              <w:spacing w:after="0"/>
              <w:rPr>
                <w:sz w:val="20"/>
                <w:szCs w:val="20"/>
                <w:color w:val="auto"/>
              </w:rPr>
            </w:pPr>
            <w:r>
              <w:rPr>
                <w:rFonts w:ascii="Arial" w:cs="Arial" w:eastAsia="Arial" w:hAnsi="Arial"/>
                <w:sz w:val="13"/>
                <w:szCs w:val="13"/>
                <w:b w:val="1"/>
                <w:bCs w:val="1"/>
                <w:color w:val="auto"/>
              </w:rPr>
              <w:t>Name and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Non-Equity</w:t>
            </w:r>
          </w:p>
        </w:tc>
        <w:tc>
          <w:tcPr>
            <w:tcW w:w="2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Change in Non-Qualified</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60" w:type="dxa"/>
            <w:vAlign w:val="bottom"/>
          </w:tcPr>
          <w:p>
            <w:pPr>
              <w:ind w:left="20"/>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Stock</w:t>
            </w: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Option</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Incentive Plan</w:t>
            </w:r>
          </w:p>
        </w:tc>
        <w:tc>
          <w:tcPr>
            <w:tcW w:w="2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Deferred Compensation</w:t>
            </w:r>
          </w:p>
        </w:tc>
        <w:tc>
          <w:tcPr>
            <w:tcW w:w="1180" w:type="dxa"/>
            <w:vAlign w:val="bottom"/>
            <w:gridSpan w:val="2"/>
          </w:tcPr>
          <w:p>
            <w:pPr>
              <w:ind w:left="240"/>
              <w:spacing w:after="0"/>
              <w:rPr>
                <w:sz w:val="20"/>
                <w:szCs w:val="20"/>
                <w:color w:val="auto"/>
              </w:rPr>
            </w:pPr>
            <w:r>
              <w:rPr>
                <w:rFonts w:ascii="Arial" w:cs="Arial" w:eastAsia="Arial" w:hAnsi="Arial"/>
                <w:sz w:val="13"/>
                <w:szCs w:val="13"/>
                <w:b w:val="1"/>
                <w:bCs w:val="1"/>
                <w:color w:val="auto"/>
              </w:rPr>
              <w:t>All Other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Position</w:t>
            </w:r>
          </w:p>
        </w:tc>
        <w:tc>
          <w:tcPr>
            <w:tcW w:w="160" w:type="dxa"/>
            <w:vAlign w:val="bottom"/>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Year</w:t>
            </w:r>
          </w:p>
        </w:tc>
        <w:tc>
          <w:tcPr>
            <w:tcW w:w="160" w:type="dxa"/>
            <w:vAlign w:val="bottom"/>
          </w:tcPr>
          <w:p>
            <w:pPr>
              <w:spacing w:after="0"/>
              <w:rPr>
                <w:sz w:val="15"/>
                <w:szCs w:val="15"/>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20"/>
                <w:szCs w:val="20"/>
                <w:b w:val="1"/>
                <w:bCs w:val="1"/>
                <w:color w:val="auto"/>
                <w:w w:val="96"/>
                <w:vertAlign w:val="subscript"/>
              </w:rPr>
              <w:t>Awards</w:t>
            </w:r>
            <w:r>
              <w:rPr>
                <w:rFonts w:ascii="Arial" w:cs="Arial" w:eastAsia="Arial" w:hAnsi="Arial"/>
                <w:sz w:val="10"/>
                <w:szCs w:val="10"/>
                <w:b w:val="1"/>
                <w:bCs w:val="1"/>
                <w:color w:val="auto"/>
                <w:w w:val="96"/>
              </w:rPr>
              <w:t>(1)(2)</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20"/>
                <w:szCs w:val="20"/>
                <w:b w:val="1"/>
                <w:bCs w:val="1"/>
                <w:color w:val="auto"/>
                <w:vertAlign w:val="subscript"/>
              </w:rPr>
              <w:t>Awards</w:t>
            </w:r>
            <w:r>
              <w:rPr>
                <w:rFonts w:ascii="Arial" w:cs="Arial" w:eastAsia="Arial" w:hAnsi="Arial"/>
                <w:sz w:val="10"/>
                <w:szCs w:val="10"/>
                <w:b w:val="1"/>
                <w:bCs w:val="1"/>
                <w:color w:val="auto"/>
              </w:rPr>
              <w:t>(1)(2)</w:t>
            </w: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Compensation</w:t>
            </w:r>
            <w:r>
              <w:rPr>
                <w:rFonts w:ascii="Arial" w:cs="Arial" w:eastAsia="Arial" w:hAnsi="Arial"/>
                <w:sz w:val="20"/>
                <w:szCs w:val="20"/>
                <w:b w:val="1"/>
                <w:bCs w:val="1"/>
                <w:color w:val="auto"/>
                <w:w w:val="96"/>
                <w:vertAlign w:val="superscript"/>
              </w:rPr>
              <w:t>(3)</w:t>
            </w:r>
          </w:p>
        </w:tc>
        <w:tc>
          <w:tcPr>
            <w:tcW w:w="160" w:type="dxa"/>
            <w:vAlign w:val="bottom"/>
          </w:tcPr>
          <w:p>
            <w:pPr>
              <w:spacing w:after="0"/>
              <w:rPr>
                <w:sz w:val="15"/>
                <w:szCs w:val="15"/>
                <w:color w:val="auto"/>
              </w:rPr>
            </w:pPr>
          </w:p>
        </w:tc>
        <w:tc>
          <w:tcPr>
            <w:tcW w:w="18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Earnings</w:t>
            </w:r>
            <w:r>
              <w:rPr>
                <w:rFonts w:ascii="Arial" w:cs="Arial" w:eastAsia="Arial" w:hAnsi="Arial"/>
                <w:sz w:val="20"/>
                <w:szCs w:val="20"/>
                <w:b w:val="1"/>
                <w:bCs w:val="1"/>
                <w:color w:val="auto"/>
                <w:w w:val="97"/>
                <w:vertAlign w:val="superscript"/>
              </w:rPr>
              <w:t>(4)</w:t>
            </w: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2"/>
                <w:szCs w:val="12"/>
                <w:b w:val="1"/>
                <w:bCs w:val="1"/>
                <w:color w:val="auto"/>
                <w:w w:val="96"/>
              </w:rPr>
              <w:t>Compensation</w:t>
            </w:r>
            <w:r>
              <w:rPr>
                <w:rFonts w:ascii="Arial" w:cs="Arial" w:eastAsia="Arial" w:hAnsi="Arial"/>
                <w:sz w:val="20"/>
                <w:szCs w:val="20"/>
                <w:b w:val="1"/>
                <w:bCs w:val="1"/>
                <w:color w:val="auto"/>
                <w:w w:val="96"/>
                <w:vertAlign w:val="superscript"/>
              </w:rPr>
              <w:t>(5)</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1"/>
        </w:trPr>
        <w:tc>
          <w:tcPr>
            <w:tcW w:w="8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Michael J.</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w w:val="93"/>
              </w:rPr>
              <w:t>$2,000,007</w:t>
            </w:r>
            <w:r>
              <w:rPr>
                <w:rFonts w:ascii="Arial" w:cs="Arial" w:eastAsia="Arial" w:hAnsi="Arial"/>
                <w:sz w:val="22"/>
                <w:szCs w:val="22"/>
                <w:color w:val="auto"/>
                <w:w w:val="93"/>
                <w:vertAlign w:val="superscript"/>
              </w:rPr>
              <w:t>(6)</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Kasbar</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2019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5"/>
              </w:rPr>
              <w:t>$900,000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$1,762,873</w:t>
            </w:r>
          </w:p>
        </w:tc>
        <w:tc>
          <w:tcPr>
            <w:tcW w:w="960" w:type="dxa"/>
            <w:vAlign w:val="bottom"/>
            <w:gridSpan w:val="2"/>
            <w:vMerge w:val="continue"/>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$2,393,903</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$5,569</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$37,705</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$7,094,488</w:t>
            </w:r>
          </w:p>
        </w:tc>
        <w:tc>
          <w:tcPr>
            <w:tcW w:w="0" w:type="dxa"/>
            <w:vAlign w:val="bottom"/>
          </w:tcPr>
          <w:p>
            <w:pPr>
              <w:spacing w:after="0"/>
              <w:rPr>
                <w:sz w:val="1"/>
                <w:szCs w:val="1"/>
                <w:color w:val="auto"/>
              </w:rPr>
            </w:pPr>
          </w:p>
        </w:tc>
      </w:tr>
      <w:tr>
        <w:trPr>
          <w:trHeight w:val="138"/>
        </w:trPr>
        <w:tc>
          <w:tcPr>
            <w:tcW w:w="86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i w:val="1"/>
                <w:iCs w:val="1"/>
                <w:color w:val="auto"/>
              </w:rPr>
              <w:t>Chairman,</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6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President</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2018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900,000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134,247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2,000,007</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1,812,748</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2,059</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36,041</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4,883,043</w:t>
            </w:r>
          </w:p>
        </w:tc>
        <w:tc>
          <w:tcPr>
            <w:tcW w:w="0" w:type="dxa"/>
            <w:vAlign w:val="bottom"/>
          </w:tcPr>
          <w:p>
            <w:pPr>
              <w:spacing w:after="0"/>
              <w:rPr>
                <w:sz w:val="1"/>
                <w:szCs w:val="1"/>
                <w:color w:val="auto"/>
              </w:rPr>
            </w:pPr>
          </w:p>
        </w:tc>
      </w:tr>
      <w:tr>
        <w:trPr>
          <w:trHeight w:val="138"/>
        </w:trPr>
        <w:tc>
          <w:tcPr>
            <w:tcW w:w="86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i w:val="1"/>
                <w:iCs w:val="1"/>
                <w:color w:val="auto"/>
              </w:rPr>
              <w:t>and Chief</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6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Executive</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2017</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900,000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1,999,985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1,999,993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562,500</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1,907</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37,875</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5,500,354</w:t>
            </w: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Officer</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860" w:type="dxa"/>
            <w:vAlign w:val="bottom"/>
          </w:tcPr>
          <w:p>
            <w:pPr>
              <w:ind w:left="20"/>
              <w:spacing w:after="0"/>
              <w:rPr>
                <w:sz w:val="20"/>
                <w:szCs w:val="20"/>
                <w:color w:val="auto"/>
              </w:rPr>
            </w:pPr>
            <w:r>
              <w:rPr>
                <w:rFonts w:ascii="Arial" w:cs="Arial" w:eastAsia="Arial" w:hAnsi="Arial"/>
                <w:sz w:val="13"/>
                <w:szCs w:val="13"/>
                <w:color w:val="auto"/>
              </w:rPr>
              <w:t>Ira M. Birns</w:t>
            </w: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2019</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600,000</w:t>
            </w: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695,106</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500,002</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974,614</w:t>
            </w:r>
          </w:p>
        </w:tc>
        <w:tc>
          <w:tcPr>
            <w:tcW w:w="2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25,815</w:t>
            </w:r>
          </w:p>
        </w:tc>
        <w:tc>
          <w:tcPr>
            <w:tcW w:w="620" w:type="dxa"/>
            <w:vAlign w:val="bottom"/>
          </w:tcPr>
          <w:p>
            <w:pPr>
              <w:jc w:val="right"/>
              <w:spacing w:after="0"/>
              <w:rPr>
                <w:sz w:val="20"/>
                <w:szCs w:val="20"/>
                <w:color w:val="auto"/>
              </w:rPr>
            </w:pPr>
            <w:r>
              <w:rPr>
                <w:rFonts w:ascii="Arial" w:cs="Arial" w:eastAsia="Arial" w:hAnsi="Arial"/>
                <w:sz w:val="13"/>
                <w:szCs w:val="13"/>
                <w:color w:val="auto"/>
              </w:rPr>
              <w:t>2,795,537</w:t>
            </w:r>
          </w:p>
        </w:tc>
        <w:tc>
          <w:tcPr>
            <w:tcW w:w="0" w:type="dxa"/>
            <w:vAlign w:val="bottom"/>
          </w:tcPr>
          <w:p>
            <w:pPr>
              <w:spacing w:after="0"/>
              <w:rPr>
                <w:sz w:val="1"/>
                <w:szCs w:val="1"/>
                <w:color w:val="auto"/>
              </w:rPr>
            </w:pPr>
          </w:p>
        </w:tc>
      </w:tr>
      <w:tr>
        <w:trPr>
          <w:trHeight w:val="148"/>
        </w:trPr>
        <w:tc>
          <w:tcPr>
            <w:tcW w:w="860" w:type="dxa"/>
            <w:vAlign w:val="bottom"/>
          </w:tcPr>
          <w:p>
            <w:pPr>
              <w:ind w:left="140"/>
              <w:spacing w:after="0"/>
              <w:rPr>
                <w:sz w:val="20"/>
                <w:szCs w:val="20"/>
                <w:color w:val="auto"/>
              </w:rPr>
            </w:pPr>
            <w:r>
              <w:rPr>
                <w:rFonts w:ascii="Arial" w:cs="Arial" w:eastAsia="Arial" w:hAnsi="Arial"/>
                <w:sz w:val="13"/>
                <w:szCs w:val="13"/>
                <w:i w:val="1"/>
                <w:iCs w:val="1"/>
                <w:color w:val="auto"/>
              </w:rPr>
              <w:t>Executive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ind w:left="140"/>
              <w:spacing w:after="0"/>
              <w:rPr>
                <w:sz w:val="20"/>
                <w:szCs w:val="20"/>
                <w:color w:val="auto"/>
              </w:rPr>
            </w:pPr>
            <w:r>
              <w:rPr>
                <w:rFonts w:ascii="Arial" w:cs="Arial" w:eastAsia="Arial" w:hAnsi="Arial"/>
                <w:sz w:val="13"/>
                <w:szCs w:val="13"/>
                <w:i w:val="1"/>
                <w:iCs w:val="1"/>
                <w:color w:val="auto"/>
              </w:rPr>
              <w:t>Vice</w:t>
            </w: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2018</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600,000</w:t>
            </w: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60,423</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500,002</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718,397</w:t>
            </w:r>
          </w:p>
        </w:tc>
        <w:tc>
          <w:tcPr>
            <w:tcW w:w="2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25,117</w:t>
            </w:r>
          </w:p>
        </w:tc>
        <w:tc>
          <w:tcPr>
            <w:tcW w:w="620" w:type="dxa"/>
            <w:vAlign w:val="bottom"/>
          </w:tcPr>
          <w:p>
            <w:pPr>
              <w:jc w:val="right"/>
              <w:spacing w:after="0"/>
              <w:rPr>
                <w:sz w:val="20"/>
                <w:szCs w:val="20"/>
                <w:color w:val="auto"/>
              </w:rPr>
            </w:pPr>
            <w:r>
              <w:rPr>
                <w:rFonts w:ascii="Arial" w:cs="Arial" w:eastAsia="Arial" w:hAnsi="Arial"/>
                <w:sz w:val="13"/>
                <w:szCs w:val="13"/>
                <w:color w:val="auto"/>
              </w:rPr>
              <w:t>1,903,940</w:t>
            </w:r>
          </w:p>
        </w:tc>
        <w:tc>
          <w:tcPr>
            <w:tcW w:w="0" w:type="dxa"/>
            <w:vAlign w:val="bottom"/>
          </w:tcPr>
          <w:p>
            <w:pPr>
              <w:spacing w:after="0"/>
              <w:rPr>
                <w:sz w:val="1"/>
                <w:szCs w:val="1"/>
                <w:color w:val="auto"/>
              </w:rPr>
            </w:pPr>
          </w:p>
        </w:tc>
      </w:tr>
      <w:tr>
        <w:trPr>
          <w:trHeight w:val="148"/>
        </w:trPr>
        <w:tc>
          <w:tcPr>
            <w:tcW w:w="860" w:type="dxa"/>
            <w:vAlign w:val="bottom"/>
          </w:tcPr>
          <w:p>
            <w:pPr>
              <w:ind w:left="140"/>
              <w:spacing w:after="0"/>
              <w:rPr>
                <w:sz w:val="20"/>
                <w:szCs w:val="20"/>
                <w:color w:val="auto"/>
              </w:rPr>
            </w:pPr>
            <w:r>
              <w:rPr>
                <w:rFonts w:ascii="Arial" w:cs="Arial" w:eastAsia="Arial" w:hAnsi="Arial"/>
                <w:sz w:val="13"/>
                <w:szCs w:val="13"/>
                <w:i w:val="1"/>
                <w:iCs w:val="1"/>
                <w:color w:val="auto"/>
              </w:rPr>
              <w:t>President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ind w:left="140"/>
              <w:spacing w:after="0"/>
              <w:rPr>
                <w:sz w:val="20"/>
                <w:szCs w:val="20"/>
                <w:color w:val="auto"/>
              </w:rPr>
            </w:pPr>
            <w:r>
              <w:rPr>
                <w:rFonts w:ascii="Arial" w:cs="Arial" w:eastAsia="Arial" w:hAnsi="Arial"/>
                <w:sz w:val="13"/>
                <w:szCs w:val="13"/>
                <w:i w:val="1"/>
                <w:iCs w:val="1"/>
                <w:color w:val="auto"/>
              </w:rPr>
              <w:t>and Chief</w:t>
            </w: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2017</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600,000</w:t>
            </w: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750,013</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400,000</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225,000</w:t>
            </w:r>
          </w:p>
        </w:tc>
        <w:tc>
          <w:tcPr>
            <w:tcW w:w="2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26,943</w:t>
            </w:r>
          </w:p>
        </w:tc>
        <w:tc>
          <w:tcPr>
            <w:tcW w:w="620" w:type="dxa"/>
            <w:vAlign w:val="bottom"/>
          </w:tcPr>
          <w:p>
            <w:pPr>
              <w:jc w:val="right"/>
              <w:spacing w:after="0"/>
              <w:rPr>
                <w:sz w:val="20"/>
                <w:szCs w:val="20"/>
                <w:color w:val="auto"/>
              </w:rPr>
            </w:pPr>
            <w:r>
              <w:rPr>
                <w:rFonts w:ascii="Arial" w:cs="Arial" w:eastAsia="Arial" w:hAnsi="Arial"/>
                <w:sz w:val="13"/>
                <w:szCs w:val="13"/>
                <w:color w:val="auto"/>
              </w:rPr>
              <w:t>2,001,956</w:t>
            </w:r>
          </w:p>
        </w:tc>
        <w:tc>
          <w:tcPr>
            <w:tcW w:w="0" w:type="dxa"/>
            <w:vAlign w:val="bottom"/>
          </w:tcPr>
          <w:p>
            <w:pPr>
              <w:spacing w:after="0"/>
              <w:rPr>
                <w:sz w:val="1"/>
                <w:szCs w:val="1"/>
                <w:color w:val="auto"/>
              </w:rPr>
            </w:pPr>
          </w:p>
        </w:tc>
      </w:tr>
      <w:tr>
        <w:trPr>
          <w:trHeight w:val="148"/>
        </w:trPr>
        <w:tc>
          <w:tcPr>
            <w:tcW w:w="860" w:type="dxa"/>
            <w:vAlign w:val="bottom"/>
          </w:tcPr>
          <w:p>
            <w:pPr>
              <w:ind w:left="140"/>
              <w:spacing w:after="0"/>
              <w:rPr>
                <w:sz w:val="20"/>
                <w:szCs w:val="20"/>
                <w:color w:val="auto"/>
              </w:rPr>
            </w:pPr>
            <w:r>
              <w:rPr>
                <w:rFonts w:ascii="Arial" w:cs="Arial" w:eastAsia="Arial" w:hAnsi="Arial"/>
                <w:sz w:val="13"/>
                <w:szCs w:val="13"/>
                <w:i w:val="1"/>
                <w:iCs w:val="1"/>
                <w:color w:val="auto"/>
              </w:rPr>
              <w:t>Financial</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140"/>
              <w:spacing w:after="0"/>
              <w:rPr>
                <w:sz w:val="20"/>
                <w:szCs w:val="20"/>
                <w:color w:val="auto"/>
              </w:rPr>
            </w:pPr>
            <w:r>
              <w:rPr>
                <w:rFonts w:ascii="Arial" w:cs="Arial" w:eastAsia="Arial" w:hAnsi="Arial"/>
                <w:sz w:val="13"/>
                <w:szCs w:val="13"/>
                <w:i w:val="1"/>
                <w:iCs w:val="1"/>
                <w:color w:val="auto"/>
              </w:rPr>
              <w:t>Officer</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Jeffrey P.</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Smith</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2019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600,000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695,106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500,002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929,614</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95,593</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2,820,315</w:t>
            </w:r>
          </w:p>
        </w:tc>
        <w:tc>
          <w:tcPr>
            <w:tcW w:w="0" w:type="dxa"/>
            <w:vAlign w:val="bottom"/>
          </w:tcPr>
          <w:p>
            <w:pPr>
              <w:spacing w:after="0"/>
              <w:rPr>
                <w:sz w:val="1"/>
                <w:szCs w:val="1"/>
                <w:color w:val="auto"/>
              </w:rPr>
            </w:pPr>
          </w:p>
        </w:tc>
      </w:tr>
      <w:tr>
        <w:trPr>
          <w:trHeight w:val="138"/>
        </w:trPr>
        <w:tc>
          <w:tcPr>
            <w:tcW w:w="86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i w:val="1"/>
                <w:iCs w:val="1"/>
                <w:color w:val="auto"/>
              </w:rPr>
              <w:t>Executive</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6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Vice</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2018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600,000</w:t>
            </w:r>
          </w:p>
        </w:tc>
        <w:tc>
          <w:tcPr>
            <w:tcW w:w="4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500,002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718,397</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111,211</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1,929,610</w:t>
            </w:r>
          </w:p>
        </w:tc>
        <w:tc>
          <w:tcPr>
            <w:tcW w:w="0" w:type="dxa"/>
            <w:vAlign w:val="bottom"/>
          </w:tcPr>
          <w:p>
            <w:pPr>
              <w:spacing w:after="0"/>
              <w:rPr>
                <w:sz w:val="1"/>
                <w:szCs w:val="1"/>
                <w:color w:val="auto"/>
              </w:rPr>
            </w:pPr>
          </w:p>
        </w:tc>
      </w:tr>
      <w:tr>
        <w:trPr>
          <w:trHeight w:val="138"/>
        </w:trPr>
        <w:tc>
          <w:tcPr>
            <w:tcW w:w="86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i w:val="1"/>
                <w:iCs w:val="1"/>
                <w:color w:val="auto"/>
              </w:rPr>
              <w:t>President</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6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and Chief</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2017</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118,077</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2,999,985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25,585</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3,143,648</w:t>
            </w:r>
          </w:p>
        </w:tc>
        <w:tc>
          <w:tcPr>
            <w:tcW w:w="0" w:type="dxa"/>
            <w:vAlign w:val="bottom"/>
          </w:tcPr>
          <w:p>
            <w:pPr>
              <w:spacing w:after="0"/>
              <w:rPr>
                <w:sz w:val="1"/>
                <w:szCs w:val="1"/>
                <w:color w:val="auto"/>
              </w:rPr>
            </w:pPr>
          </w:p>
        </w:tc>
      </w:tr>
      <w:tr>
        <w:trPr>
          <w:trHeight w:val="138"/>
        </w:trPr>
        <w:tc>
          <w:tcPr>
            <w:tcW w:w="86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Operating</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Officer</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860" w:type="dxa"/>
            <w:vAlign w:val="bottom"/>
          </w:tcPr>
          <w:p>
            <w:pPr>
              <w:ind w:left="20"/>
              <w:spacing w:after="0"/>
              <w:rPr>
                <w:sz w:val="20"/>
                <w:szCs w:val="20"/>
                <w:color w:val="auto"/>
              </w:rPr>
            </w:pPr>
            <w:r>
              <w:rPr>
                <w:rFonts w:ascii="Arial" w:cs="Arial" w:eastAsia="Arial" w:hAnsi="Arial"/>
                <w:sz w:val="13"/>
                <w:szCs w:val="13"/>
                <w:color w:val="auto"/>
              </w:rPr>
              <w:t>Michael J.</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918,129</w:t>
            </w:r>
            <w:r>
              <w:rPr>
                <w:rFonts w:ascii="Arial" w:cs="Arial" w:eastAsia="Arial" w:hAnsi="Arial"/>
                <w:sz w:val="22"/>
                <w:szCs w:val="22"/>
                <w:color w:val="auto"/>
                <w:vertAlign w:val="superscript"/>
              </w:rPr>
              <w:t>(7)</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60" w:type="dxa"/>
            <w:vAlign w:val="bottom"/>
          </w:tcPr>
          <w:p>
            <w:pPr>
              <w:ind w:left="140"/>
              <w:spacing w:after="0"/>
              <w:rPr>
                <w:sz w:val="20"/>
                <w:szCs w:val="20"/>
                <w:color w:val="auto"/>
              </w:rPr>
            </w:pPr>
            <w:r>
              <w:rPr>
                <w:rFonts w:ascii="Arial" w:cs="Arial" w:eastAsia="Arial" w:hAnsi="Arial"/>
                <w:sz w:val="13"/>
                <w:szCs w:val="13"/>
                <w:color w:val="auto"/>
              </w:rPr>
              <w:t>Crosby</w:t>
            </w: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2019</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500,000</w:t>
            </w: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471,971</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300,001</w:t>
            </w:r>
          </w:p>
        </w:tc>
        <w:tc>
          <w:tcPr>
            <w:tcW w:w="1180" w:type="dxa"/>
            <w:vAlign w:val="bottom"/>
            <w:gridSpan w:val="2"/>
            <w:vMerge w:val="continue"/>
          </w:tcPr>
          <w:p>
            <w:pPr>
              <w:spacing w:after="0"/>
              <w:rPr>
                <w:sz w:val="12"/>
                <w:szCs w:val="12"/>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21,660</w:t>
            </w:r>
          </w:p>
        </w:tc>
        <w:tc>
          <w:tcPr>
            <w:tcW w:w="620" w:type="dxa"/>
            <w:vAlign w:val="bottom"/>
          </w:tcPr>
          <w:p>
            <w:pPr>
              <w:jc w:val="right"/>
              <w:spacing w:after="0"/>
              <w:rPr>
                <w:sz w:val="20"/>
                <w:szCs w:val="20"/>
                <w:color w:val="auto"/>
              </w:rPr>
            </w:pPr>
            <w:r>
              <w:rPr>
                <w:rFonts w:ascii="Arial" w:cs="Arial" w:eastAsia="Arial" w:hAnsi="Arial"/>
                <w:sz w:val="13"/>
                <w:szCs w:val="13"/>
                <w:color w:val="auto"/>
              </w:rPr>
              <w:t>2,211,762</w:t>
            </w:r>
          </w:p>
        </w:tc>
        <w:tc>
          <w:tcPr>
            <w:tcW w:w="0" w:type="dxa"/>
            <w:vAlign w:val="bottom"/>
          </w:tcPr>
          <w:p>
            <w:pPr>
              <w:spacing w:after="0"/>
              <w:rPr>
                <w:sz w:val="1"/>
                <w:szCs w:val="1"/>
                <w:color w:val="auto"/>
              </w:rPr>
            </w:pPr>
          </w:p>
        </w:tc>
      </w:tr>
      <w:tr>
        <w:trPr>
          <w:trHeight w:val="148"/>
        </w:trPr>
        <w:tc>
          <w:tcPr>
            <w:tcW w:w="860" w:type="dxa"/>
            <w:vAlign w:val="bottom"/>
          </w:tcPr>
          <w:p>
            <w:pPr>
              <w:ind w:left="140"/>
              <w:spacing w:after="0"/>
              <w:rPr>
                <w:sz w:val="20"/>
                <w:szCs w:val="20"/>
                <w:color w:val="auto"/>
              </w:rPr>
            </w:pPr>
            <w:r>
              <w:rPr>
                <w:rFonts w:ascii="Arial" w:cs="Arial" w:eastAsia="Arial" w:hAnsi="Arial"/>
                <w:sz w:val="13"/>
                <w:szCs w:val="13"/>
                <w:i w:val="1"/>
                <w:iCs w:val="1"/>
                <w:color w:val="auto"/>
              </w:rPr>
              <w:t>Executive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ind w:left="140"/>
              <w:spacing w:after="0"/>
              <w:rPr>
                <w:sz w:val="20"/>
                <w:szCs w:val="20"/>
                <w:color w:val="auto"/>
              </w:rPr>
            </w:pPr>
            <w:r>
              <w:rPr>
                <w:rFonts w:ascii="Arial" w:cs="Arial" w:eastAsia="Arial" w:hAnsi="Arial"/>
                <w:sz w:val="13"/>
                <w:szCs w:val="13"/>
                <w:i w:val="1"/>
                <w:iCs w:val="1"/>
                <w:color w:val="auto"/>
              </w:rPr>
              <w:t>Vice</w:t>
            </w: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2018</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500,000</w:t>
            </w: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134,247</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300,002</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847,303</w:t>
            </w:r>
          </w:p>
        </w:tc>
        <w:tc>
          <w:tcPr>
            <w:tcW w:w="2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21,431</w:t>
            </w:r>
          </w:p>
        </w:tc>
        <w:tc>
          <w:tcPr>
            <w:tcW w:w="620" w:type="dxa"/>
            <w:vAlign w:val="bottom"/>
          </w:tcPr>
          <w:p>
            <w:pPr>
              <w:jc w:val="right"/>
              <w:spacing w:after="0"/>
              <w:rPr>
                <w:sz w:val="20"/>
                <w:szCs w:val="20"/>
                <w:color w:val="auto"/>
              </w:rPr>
            </w:pPr>
            <w:r>
              <w:rPr>
                <w:rFonts w:ascii="Arial" w:cs="Arial" w:eastAsia="Arial" w:hAnsi="Arial"/>
                <w:sz w:val="13"/>
                <w:szCs w:val="13"/>
                <w:color w:val="auto"/>
              </w:rPr>
              <w:t>1,802,983</w:t>
            </w:r>
          </w:p>
        </w:tc>
        <w:tc>
          <w:tcPr>
            <w:tcW w:w="0" w:type="dxa"/>
            <w:vAlign w:val="bottom"/>
          </w:tcPr>
          <w:p>
            <w:pPr>
              <w:spacing w:after="0"/>
              <w:rPr>
                <w:sz w:val="1"/>
                <w:szCs w:val="1"/>
                <w:color w:val="auto"/>
              </w:rPr>
            </w:pPr>
          </w:p>
        </w:tc>
      </w:tr>
      <w:tr>
        <w:trPr>
          <w:trHeight w:val="148"/>
        </w:trPr>
        <w:tc>
          <w:tcPr>
            <w:tcW w:w="860" w:type="dxa"/>
            <w:vAlign w:val="bottom"/>
          </w:tcPr>
          <w:p>
            <w:pPr>
              <w:ind w:left="140"/>
              <w:spacing w:after="0"/>
              <w:rPr>
                <w:sz w:val="20"/>
                <w:szCs w:val="20"/>
                <w:color w:val="auto"/>
              </w:rPr>
            </w:pPr>
            <w:r>
              <w:rPr>
                <w:rFonts w:ascii="Arial" w:cs="Arial" w:eastAsia="Arial" w:hAnsi="Arial"/>
                <w:sz w:val="13"/>
                <w:szCs w:val="13"/>
                <w:i w:val="1"/>
                <w:iCs w:val="1"/>
                <w:color w:val="auto"/>
              </w:rPr>
              <w:t>President,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140"/>
              <w:spacing w:after="0"/>
              <w:rPr>
                <w:sz w:val="20"/>
                <w:szCs w:val="20"/>
                <w:color w:val="auto"/>
              </w:rPr>
            </w:pPr>
            <w:r>
              <w:rPr>
                <w:rFonts w:ascii="Arial" w:cs="Arial" w:eastAsia="Arial" w:hAnsi="Arial"/>
                <w:sz w:val="13"/>
                <w:szCs w:val="13"/>
                <w:i w:val="1"/>
                <w:iCs w:val="1"/>
                <w:color w:val="auto"/>
                <w:w w:val="99"/>
              </w:rPr>
              <w:t>Global Land</w:t>
            </w: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2017</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500,000</w:t>
            </w: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999,993</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250,001</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200,000</w:t>
            </w:r>
          </w:p>
        </w:tc>
        <w:tc>
          <w:tcPr>
            <w:tcW w:w="2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21,209</w:t>
            </w:r>
          </w:p>
        </w:tc>
        <w:tc>
          <w:tcPr>
            <w:tcW w:w="620" w:type="dxa"/>
            <w:vAlign w:val="bottom"/>
          </w:tcPr>
          <w:p>
            <w:pPr>
              <w:jc w:val="right"/>
              <w:spacing w:after="0"/>
              <w:rPr>
                <w:sz w:val="20"/>
                <w:szCs w:val="20"/>
                <w:color w:val="auto"/>
              </w:rPr>
            </w:pPr>
            <w:r>
              <w:rPr>
                <w:rFonts w:ascii="Arial" w:cs="Arial" w:eastAsia="Arial" w:hAnsi="Arial"/>
                <w:sz w:val="13"/>
                <w:szCs w:val="13"/>
                <w:color w:val="auto"/>
              </w:rPr>
              <w:t>1,971,203</w:t>
            </w:r>
          </w:p>
        </w:tc>
        <w:tc>
          <w:tcPr>
            <w:tcW w:w="0" w:type="dxa"/>
            <w:vAlign w:val="bottom"/>
          </w:tcPr>
          <w:p>
            <w:pPr>
              <w:spacing w:after="0"/>
              <w:rPr>
                <w:sz w:val="1"/>
                <w:szCs w:val="1"/>
                <w:color w:val="auto"/>
              </w:rPr>
            </w:pPr>
          </w:p>
        </w:tc>
      </w:tr>
      <w:tr>
        <w:trPr>
          <w:trHeight w:val="324"/>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John P. Rau</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2019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589,583</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471,971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300,001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1,267,948</w:t>
            </w:r>
            <w:r>
              <w:rPr>
                <w:rFonts w:ascii="Arial" w:cs="Arial" w:eastAsia="Arial" w:hAnsi="Arial"/>
                <w:sz w:val="22"/>
                <w:szCs w:val="22"/>
                <w:color w:val="auto"/>
                <w:vertAlign w:val="superscript"/>
              </w:rPr>
              <w:t>(7)</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23,016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2,652,519</w:t>
            </w:r>
          </w:p>
        </w:tc>
        <w:tc>
          <w:tcPr>
            <w:tcW w:w="0" w:type="dxa"/>
            <w:vAlign w:val="bottom"/>
          </w:tcPr>
          <w:p>
            <w:pPr>
              <w:spacing w:after="0"/>
              <w:rPr>
                <w:sz w:val="1"/>
                <w:szCs w:val="1"/>
                <w:color w:val="auto"/>
              </w:rPr>
            </w:pPr>
          </w:p>
        </w:tc>
      </w:tr>
      <w:tr>
        <w:trPr>
          <w:trHeight w:val="138"/>
        </w:trPr>
        <w:tc>
          <w:tcPr>
            <w:tcW w:w="86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i w:val="1"/>
                <w:iCs w:val="1"/>
                <w:color w:val="auto"/>
              </w:rPr>
              <w:t>Executive</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6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Vice</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2018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539,583</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134,247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300,002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1,032,673</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22,198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2,028,704</w:t>
            </w:r>
          </w:p>
        </w:tc>
        <w:tc>
          <w:tcPr>
            <w:tcW w:w="0" w:type="dxa"/>
            <w:vAlign w:val="bottom"/>
          </w:tcPr>
          <w:p>
            <w:pPr>
              <w:spacing w:after="0"/>
              <w:rPr>
                <w:sz w:val="1"/>
                <w:szCs w:val="1"/>
                <w:color w:val="auto"/>
              </w:rPr>
            </w:pPr>
          </w:p>
        </w:tc>
      </w:tr>
      <w:tr>
        <w:trPr>
          <w:trHeight w:val="138"/>
        </w:trPr>
        <w:tc>
          <w:tcPr>
            <w:tcW w:w="86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i w:val="1"/>
                <w:iCs w:val="1"/>
                <w:color w:val="auto"/>
              </w:rPr>
              <w:t>President,</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Global</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6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Aviation</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2017</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500,000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999,993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250,001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112,500</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21,894</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1,884,388</w:t>
            </w: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and Marine</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0" w:hanging="549"/>
        <w:spacing w:after="0" w:line="250"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amounts shown represent the estimated aggregate grant date fair value of the awards made in each fiscal year relating to RSUs and SSARs granted to the NEOs. The estimated grant date fair value of these awards is based on the grant date market value of our common stock as defined in the 2016 Omnibus Plan and is computed in accordance with FASB ASC Topic 718. Assumptions used in determining the aggregate grant date fair value of awards are set forth in Note 10 to the consolidated financial statements for each of the fiscal years presented in Item 15 of the respective annual reports on Form 10-K.</w:t>
      </w:r>
    </w:p>
    <w:p>
      <w:pPr>
        <w:spacing w:after="0" w:line="106" w:lineRule="exact"/>
        <w:rPr>
          <w:rFonts w:ascii="Arial" w:cs="Arial" w:eastAsia="Arial" w:hAnsi="Arial"/>
          <w:sz w:val="13"/>
          <w:szCs w:val="13"/>
          <w:color w:val="auto"/>
        </w:rPr>
      </w:pPr>
    </w:p>
    <w:p>
      <w:pPr>
        <w:ind w:left="1680" w:right="80" w:hanging="549"/>
        <w:spacing w:after="0" w:line="250"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For 2019, the Stock Awards column for Messrs. Kasbar, Birns, Smith, Crosby and Rau reflects the RSUs issued in connection with the 2018 annual incentive program based on EBITDA Growth that were awarded in March 2019. For 2019, the Option Awards column reflects the three-year Performance SSARs that were awarded in March 2019 under the PSP program. A determination of the amount of the Performance SSARs, if any, that will be earned will be made in March 2022. See "Grants of Plan-Based Awards Table" for more information.</w:t>
      </w:r>
    </w:p>
    <w:p>
      <w:pPr>
        <w:spacing w:after="0" w:line="106" w:lineRule="exact"/>
        <w:rPr>
          <w:rFonts w:ascii="Arial" w:cs="Arial" w:eastAsia="Arial" w:hAnsi="Arial"/>
          <w:sz w:val="13"/>
          <w:szCs w:val="13"/>
          <w:color w:val="auto"/>
        </w:rPr>
      </w:pPr>
    </w:p>
    <w:p>
      <w:pPr>
        <w:ind w:left="1680" w:right="20" w:hanging="549"/>
        <w:spacing w:after="0" w:line="274"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amount reflects an annual cash incentive award earned by each NEO based on EBITDA Growth in 2019 as well as strategic objective cash incentive awards earned by each of the NEOs based upon their achieving a portion of their 2019 strategic objectives.</w:t>
      </w:r>
    </w:p>
    <w:p>
      <w:pPr>
        <w:spacing w:after="0" w:line="90" w:lineRule="exact"/>
        <w:rPr>
          <w:rFonts w:ascii="Arial" w:cs="Arial" w:eastAsia="Arial" w:hAnsi="Arial"/>
          <w:sz w:val="13"/>
          <w:szCs w:val="13"/>
          <w:color w:val="auto"/>
        </w:rPr>
      </w:pPr>
    </w:p>
    <w:p>
      <w:pPr>
        <w:ind w:left="1680" w:right="80" w:hanging="549"/>
        <w:spacing w:after="0" w:line="278" w:lineRule="auto"/>
        <w:tabs>
          <w:tab w:leader="none" w:pos="16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Reflects interest accrued in connection with a portion of the bonus earned by Mr. Kasbar for the 2002 fiscal year, which was deferred pursuant to a provision of his previous employment agreement that provided that any amount so deferred would be credited with interest at the prime rate as published in the Wall Street Journal (the "Kasbar Accrued Interest"). The portion reflected in this column is the portion of the Kasbar Accrued Interest that constitutes "above market earnings" within the meaning of the applicable SEC rules. The full amount of the Kasbar Accrued Interest is reflected in the "Non-Qualified Deferred Compensation Table" on page 60 of this proxy statement.</w:t>
      </w:r>
    </w:p>
    <w:p>
      <w:pPr>
        <w:spacing w:after="0" w:line="89" w:lineRule="exact"/>
        <w:rPr>
          <w:rFonts w:ascii="Arial" w:cs="Arial" w:eastAsia="Arial" w:hAnsi="Arial"/>
          <w:sz w:val="12"/>
          <w:szCs w:val="12"/>
          <w:color w:val="auto"/>
        </w:rPr>
      </w:pPr>
    </w:p>
    <w:p>
      <w:pPr>
        <w:ind w:left="1680" w:hanging="549"/>
        <w:spacing w:after="0" w:line="288" w:lineRule="auto"/>
        <w:tabs>
          <w:tab w:leader="none" w:pos="16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Details of the 2019 amounts set forth in this column are included in the "2019 All Other Compensation Table" on page 56 of this proxy statement. For Mr. Kasbar, the 2018 and 2017 amounts in this column previously included the full amount of the Kasbar Accrued Interest for such years in the amount of $10,070 and $8,027, respectively. The "above market earnings" portion of the Kasbar Accrued Interest for such years is now reflected in the "Change in Non-Qualified Deferred Compensation Earnings" column of this table.</w:t>
      </w:r>
    </w:p>
    <w:p>
      <w:pPr>
        <w:spacing w:after="0" w:line="83" w:lineRule="exact"/>
        <w:rPr>
          <w:rFonts w:ascii="Arial" w:cs="Arial" w:eastAsia="Arial" w:hAnsi="Arial"/>
          <w:sz w:val="12"/>
          <w:szCs w:val="12"/>
          <w:color w:val="auto"/>
        </w:rPr>
      </w:pPr>
    </w:p>
    <w:p>
      <w:pPr>
        <w:ind w:left="1680" w:hanging="549"/>
        <w:spacing w:after="0"/>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amount includes the grant date fair value of a service-based award to Mr. Kasbar of 109,290 SSARs, which vest in March 2022.</w:t>
      </w:r>
    </w:p>
    <w:p>
      <w:pPr>
        <w:spacing w:after="0" w:line="134" w:lineRule="exact"/>
        <w:rPr>
          <w:rFonts w:ascii="Arial" w:cs="Arial" w:eastAsia="Arial" w:hAnsi="Arial"/>
          <w:sz w:val="13"/>
          <w:szCs w:val="13"/>
          <w:color w:val="auto"/>
        </w:rPr>
      </w:pPr>
    </w:p>
    <w:p>
      <w:pPr>
        <w:ind w:left="1680" w:right="320" w:hanging="549"/>
        <w:spacing w:after="0" w:line="257"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amount also includes an annual cash incentive award earned by Messrs. Crosby and Rau based on Operating Income growth for their respective LOS in the amount of $300,000 and $612,319, respectively.</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13613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2019 All Other Compensation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22"/>
              <w:spacing w:after="0"/>
              <w:rPr>
                <w:sz w:val="20"/>
                <w:szCs w:val="20"/>
                <w:color w:val="auto"/>
              </w:rPr>
            </w:pPr>
            <w:r>
              <w:rPr>
                <w:rFonts w:ascii="Arial" w:cs="Arial" w:eastAsia="Arial" w:hAnsi="Arial"/>
                <w:sz w:val="13"/>
                <w:szCs w:val="13"/>
                <w:b w:val="1"/>
                <w:bCs w:val="1"/>
                <w:color w:val="auto"/>
                <w:w w:val="96"/>
              </w:rPr>
              <w:t>Short-Term</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Insurance &amp;</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Country Club</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9"/>
              <w:spacing w:after="0"/>
              <w:rPr>
                <w:sz w:val="20"/>
                <w:szCs w:val="20"/>
                <w:color w:val="auto"/>
              </w:rPr>
            </w:pPr>
            <w:r>
              <w:rPr>
                <w:rFonts w:ascii="Arial" w:cs="Arial" w:eastAsia="Arial" w:hAnsi="Arial"/>
                <w:sz w:val="13"/>
                <w:szCs w:val="13"/>
                <w:b w:val="1"/>
                <w:bCs w:val="1"/>
                <w:color w:val="auto"/>
                <w:w w:val="98"/>
              </w:rPr>
              <w:t>Matching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2"/>
              <w:spacing w:after="0"/>
              <w:rPr>
                <w:sz w:val="20"/>
                <w:szCs w:val="20"/>
                <w:color w:val="auto"/>
              </w:rPr>
            </w:pPr>
            <w:r>
              <w:rPr>
                <w:rFonts w:ascii="Arial" w:cs="Arial" w:eastAsia="Arial" w:hAnsi="Arial"/>
                <w:sz w:val="13"/>
                <w:szCs w:val="13"/>
                <w:b w:val="1"/>
                <w:bCs w:val="1"/>
                <w:color w:val="auto"/>
                <w:w w:val="98"/>
              </w:rPr>
              <w:t>Travel and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rPr>
                <w:sz w:val="20"/>
                <w:szCs w:val="20"/>
                <w:color w:val="auto"/>
              </w:rPr>
            </w:pPr>
            <w:r>
              <w:rPr>
                <w:rFonts w:ascii="Arial" w:cs="Arial" w:eastAsia="Arial" w:hAnsi="Arial"/>
                <w:sz w:val="13"/>
                <w:szCs w:val="13"/>
                <w:b w:val="1"/>
                <w:bCs w:val="1"/>
                <w:color w:val="auto"/>
                <w:w w:val="95"/>
              </w:rPr>
              <w:t>Health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8"/>
              <w:spacing w:after="0"/>
              <w:rPr>
                <w:sz w:val="20"/>
                <w:szCs w:val="20"/>
                <w:color w:val="auto"/>
              </w:rPr>
            </w:pPr>
            <w:r>
              <w:rPr>
                <w:rFonts w:ascii="Arial" w:cs="Arial" w:eastAsia="Arial" w:hAnsi="Arial"/>
                <w:sz w:val="13"/>
                <w:szCs w:val="13"/>
                <w:b w:val="1"/>
                <w:bCs w:val="1"/>
                <w:color w:val="auto"/>
                <w:w w:val="96"/>
              </w:rPr>
              <w:t>Membership</w:t>
            </w:r>
          </w:p>
        </w:tc>
        <w:tc>
          <w:tcPr>
            <w:tcW w:w="16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Contributions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2"/>
              <w:spacing w:after="0"/>
              <w:rPr>
                <w:sz w:val="20"/>
                <w:szCs w:val="20"/>
                <w:color w:val="auto"/>
              </w:rPr>
            </w:pPr>
            <w:r>
              <w:rPr>
                <w:rFonts w:ascii="Arial" w:cs="Arial" w:eastAsia="Arial" w:hAnsi="Arial"/>
                <w:sz w:val="13"/>
                <w:szCs w:val="13"/>
                <w:b w:val="1"/>
                <w:bCs w:val="1"/>
                <w:color w:val="auto"/>
                <w:w w:val="92"/>
              </w:rPr>
              <w:t>Housing</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60" w:type="dxa"/>
            <w:vAlign w:val="bottom"/>
            <w:gridSpan w:val="3"/>
          </w:tcPr>
          <w:p>
            <w:pPr>
              <w:ind w:left="1360"/>
              <w:spacing w:after="0"/>
              <w:rPr>
                <w:sz w:val="20"/>
                <w:szCs w:val="20"/>
                <w:color w:val="auto"/>
              </w:rPr>
            </w:pPr>
            <w:r>
              <w:rPr>
                <w:rFonts w:ascii="Arial" w:cs="Arial" w:eastAsia="Arial" w:hAnsi="Arial"/>
                <w:sz w:val="13"/>
                <w:szCs w:val="13"/>
                <w:b w:val="1"/>
                <w:bCs w:val="1"/>
                <w:color w:val="auto"/>
              </w:rPr>
              <w:t>Name</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9"/>
              <w:spacing w:after="0" w:line="176" w:lineRule="exact"/>
              <w:rPr>
                <w:sz w:val="20"/>
                <w:szCs w:val="20"/>
                <w:color w:val="auto"/>
              </w:rPr>
            </w:pPr>
            <w:r>
              <w:rPr>
                <w:rFonts w:ascii="Arial" w:cs="Arial" w:eastAsia="Arial" w:hAnsi="Arial"/>
                <w:sz w:val="12"/>
                <w:szCs w:val="12"/>
                <w:b w:val="1"/>
                <w:bCs w:val="1"/>
                <w:color w:val="auto"/>
                <w:w w:val="94"/>
              </w:rPr>
              <w:t>Benefits</w:t>
            </w:r>
            <w:r>
              <w:rPr>
                <w:rFonts w:ascii="Arial" w:cs="Arial" w:eastAsia="Arial" w:hAnsi="Arial"/>
                <w:sz w:val="20"/>
                <w:szCs w:val="20"/>
                <w:b w:val="1"/>
                <w:bCs w:val="1"/>
                <w:color w:val="auto"/>
                <w:w w:val="94"/>
                <w:vertAlign w:val="superscript"/>
              </w:rPr>
              <w:t>(1)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8"/>
              <w:spacing w:after="0"/>
              <w:rPr>
                <w:sz w:val="20"/>
                <w:szCs w:val="20"/>
                <w:color w:val="auto"/>
              </w:rPr>
            </w:pPr>
            <w:r>
              <w:rPr>
                <w:rFonts w:ascii="Arial" w:cs="Arial" w:eastAsia="Arial" w:hAnsi="Arial"/>
                <w:sz w:val="13"/>
                <w:szCs w:val="13"/>
                <w:b w:val="1"/>
                <w:bCs w:val="1"/>
                <w:color w:val="auto"/>
                <w:w w:val="87"/>
              </w:rPr>
              <w:t>Dues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9"/>
              <w:spacing w:after="0" w:line="176" w:lineRule="exact"/>
              <w:rPr>
                <w:sz w:val="20"/>
                <w:szCs w:val="20"/>
                <w:color w:val="auto"/>
              </w:rPr>
            </w:pPr>
            <w:r>
              <w:rPr>
                <w:rFonts w:ascii="Arial" w:cs="Arial" w:eastAsia="Arial" w:hAnsi="Arial"/>
                <w:sz w:val="12"/>
                <w:szCs w:val="12"/>
                <w:b w:val="1"/>
                <w:bCs w:val="1"/>
                <w:color w:val="auto"/>
                <w:w w:val="97"/>
              </w:rPr>
              <w:t>to 401(k)</w:t>
            </w:r>
            <w:r>
              <w:rPr>
                <w:rFonts w:ascii="Arial" w:cs="Arial" w:eastAsia="Arial" w:hAnsi="Arial"/>
                <w:sz w:val="20"/>
                <w:szCs w:val="20"/>
                <w:b w:val="1"/>
                <w:bCs w:val="1"/>
                <w:color w:val="auto"/>
                <w:w w:val="97"/>
                <w:vertAlign w:val="superscript"/>
              </w:rPr>
              <w:t>(2)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22"/>
              <w:spacing w:after="0" w:line="176" w:lineRule="exact"/>
              <w:rPr>
                <w:sz w:val="20"/>
                <w:szCs w:val="20"/>
                <w:color w:val="auto"/>
              </w:rPr>
            </w:pPr>
            <w:r>
              <w:rPr>
                <w:rFonts w:ascii="Arial" w:cs="Arial" w:eastAsia="Arial" w:hAnsi="Arial"/>
                <w:sz w:val="12"/>
                <w:szCs w:val="12"/>
                <w:b w:val="1"/>
                <w:bCs w:val="1"/>
                <w:color w:val="auto"/>
                <w:w w:val="95"/>
              </w:rPr>
              <w:t>Allowance</w:t>
            </w:r>
            <w:r>
              <w:rPr>
                <w:rFonts w:ascii="Arial" w:cs="Arial" w:eastAsia="Arial" w:hAnsi="Arial"/>
                <w:sz w:val="20"/>
                <w:szCs w:val="20"/>
                <w:b w:val="1"/>
                <w:bCs w:val="1"/>
                <w:color w:val="auto"/>
                <w:w w:val="95"/>
                <w:vertAlign w:val="superscript"/>
              </w:rPr>
              <w:t>(3)</w:t>
            </w:r>
          </w:p>
        </w:tc>
        <w:tc>
          <w:tcPr>
            <w:tcW w:w="160" w:type="dxa"/>
            <w:vAlign w:val="bottom"/>
          </w:tcPr>
          <w:p>
            <w:pPr>
              <w:spacing w:after="0"/>
              <w:rPr>
                <w:sz w:val="15"/>
                <w:szCs w:val="15"/>
                <w:color w:val="auto"/>
              </w:rPr>
            </w:pPr>
          </w:p>
        </w:tc>
        <w:tc>
          <w:tcPr>
            <w:tcW w:w="86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vMerge w:val="continue"/>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37,705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Ira M. Birns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25,816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P. Smith</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Michael J. Crosby</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21,660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Rau</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380" w:hanging="532"/>
        <w:spacing w:after="0" w:line="331"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shown in this column reflect premiums associated with individual disability insurance and executive life insurance, both of which are available for Company management-level employees, and for Messrs. Kasbar and Birns, certain health insurance reimbursements.</w:t>
      </w:r>
    </w:p>
    <w:p>
      <w:pPr>
        <w:spacing w:after="0" w:line="167" w:lineRule="exact"/>
        <w:rPr>
          <w:rFonts w:ascii="Arial" w:cs="Arial" w:eastAsia="Arial" w:hAnsi="Arial"/>
          <w:sz w:val="16"/>
          <w:szCs w:val="16"/>
          <w:color w:val="auto"/>
        </w:rPr>
      </w:pPr>
    </w:p>
    <w:p>
      <w:pPr>
        <w:ind w:left="540" w:right="140" w:hanging="532"/>
        <w:spacing w:after="0" w:line="331"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shown in this column reflect our matching contributions under our 401(k) plan, which is available for all Company employees. For more information about our 401(k) Plan, please see the discussion under "Retirement and Deferred Compensation" on page 51 of this proxy statement.</w:t>
      </w:r>
    </w:p>
    <w:p>
      <w:pPr>
        <w:spacing w:after="0" w:line="154" w:lineRule="exact"/>
        <w:rPr>
          <w:rFonts w:ascii="Arial" w:cs="Arial" w:eastAsia="Arial" w:hAnsi="Arial"/>
          <w:sz w:val="16"/>
          <w:szCs w:val="16"/>
          <w:color w:val="auto"/>
        </w:rPr>
      </w:pPr>
    </w:p>
    <w:p>
      <w:pPr>
        <w:ind w:left="540" w:right="420" w:hanging="532"/>
        <w:spacing w:after="0" w:line="331"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shown in this column include short-term travel and housing allowance ($8,000 per month), ending in October 2019. These payments originated in connection with Mr. Smith joining the Company in October 2017 as Executive Vice President and Chief Operating Officer.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Grants of Plan-Based Awards</w:t>
      </w:r>
    </w:p>
    <w:p>
      <w:pPr>
        <w:spacing w:after="0" w:line="231" w:lineRule="exact"/>
        <w:rPr>
          <w:sz w:val="20"/>
          <w:szCs w:val="20"/>
          <w:color w:val="auto"/>
        </w:rPr>
      </w:pPr>
    </w:p>
    <w:p>
      <w:pPr>
        <w:ind w:right="580" w:firstLine="611"/>
        <w:spacing w:after="0" w:line="268" w:lineRule="auto"/>
        <w:rPr>
          <w:sz w:val="20"/>
          <w:szCs w:val="20"/>
          <w:color w:val="auto"/>
        </w:rPr>
      </w:pPr>
      <w:r>
        <w:rPr>
          <w:rFonts w:ascii="Arial" w:cs="Arial" w:eastAsia="Arial" w:hAnsi="Arial"/>
          <w:sz w:val="18"/>
          <w:szCs w:val="18"/>
          <w:color w:val="auto"/>
        </w:rPr>
        <w:t>The following table provides additional information about stock awards and equity and non-equity incentive plan awards granted to our named executive officers during the year ended December 31, 2019.</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All Other</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Stock</w:t>
            </w: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All Other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6"/>
            <w:vMerge w:val="restart"/>
          </w:tcPr>
          <w:p>
            <w:pPr>
              <w:jc w:val="center"/>
              <w:ind w:right="60"/>
              <w:spacing w:after="0"/>
              <w:rPr>
                <w:sz w:val="20"/>
                <w:szCs w:val="20"/>
                <w:color w:val="auto"/>
              </w:rPr>
            </w:pPr>
            <w:r>
              <w:rPr>
                <w:rFonts w:ascii="Arial" w:cs="Arial" w:eastAsia="Arial" w:hAnsi="Arial"/>
                <w:sz w:val="13"/>
                <w:szCs w:val="13"/>
                <w:b w:val="1"/>
                <w:bCs w:val="1"/>
                <w:color w:val="auto"/>
                <w:w w:val="93"/>
              </w:rPr>
              <w:t>Estimated Future Payouts</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Awards:</w:t>
            </w: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80" w:type="dxa"/>
            <w:vAlign w:val="bottom"/>
            <w:gridSpan w:val="6"/>
            <w:vMerge w:val="continue"/>
          </w:tcPr>
          <w:p>
            <w:pPr>
              <w:spacing w:after="0"/>
              <w:rPr>
                <w:sz w:val="4"/>
                <w:szCs w:val="4"/>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7"/>
              </w:rPr>
              <w:t>Number</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Awards:</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10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w w:val="95"/>
              </w:rPr>
              <w:t>Estimated Possible Payouts Under</w:t>
            </w:r>
          </w:p>
        </w:tc>
        <w:tc>
          <w:tcPr>
            <w:tcW w:w="1880" w:type="dxa"/>
            <w:vAlign w:val="bottom"/>
            <w:gridSpan w:val="6"/>
            <w:vMerge w:val="restart"/>
          </w:tcPr>
          <w:p>
            <w:pPr>
              <w:jc w:val="center"/>
              <w:ind w:right="60"/>
              <w:spacing w:after="0"/>
              <w:rPr>
                <w:sz w:val="20"/>
                <w:szCs w:val="20"/>
                <w:color w:val="auto"/>
              </w:rPr>
            </w:pPr>
            <w:r>
              <w:rPr>
                <w:rFonts w:ascii="Arial" w:cs="Arial" w:eastAsia="Arial" w:hAnsi="Arial"/>
                <w:sz w:val="13"/>
                <w:szCs w:val="13"/>
                <w:b w:val="1"/>
                <w:bCs w:val="1"/>
                <w:color w:val="auto"/>
                <w:w w:val="96"/>
              </w:rPr>
              <w:t>Under Equity Incentive Plan</w:t>
            </w:r>
          </w:p>
        </w:tc>
        <w:tc>
          <w:tcPr>
            <w:tcW w:w="70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gridSpan w:val="6"/>
            <w:vMerge w:val="continue"/>
          </w:tcPr>
          <w:p>
            <w:pPr>
              <w:spacing w:after="0"/>
              <w:rPr>
                <w:sz w:val="5"/>
                <w:szCs w:val="5"/>
                <w:color w:val="auto"/>
              </w:rPr>
            </w:pPr>
          </w:p>
        </w:tc>
        <w:tc>
          <w:tcPr>
            <w:tcW w:w="1880" w:type="dxa"/>
            <w:vAlign w:val="bottom"/>
            <w:gridSpan w:val="6"/>
            <w:vMerge w:val="continue"/>
          </w:tcPr>
          <w:p>
            <w:pPr>
              <w:spacing w:after="0"/>
              <w:rPr>
                <w:sz w:val="5"/>
                <w:szCs w:val="5"/>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7"/>
              </w:rPr>
              <w:t>of</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Number of</w:t>
            </w: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Exercise</w:t>
            </w: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of Stock</w:t>
            </w: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100" w:type="dxa"/>
            <w:vAlign w:val="bottom"/>
            <w:gridSpan w:val="6"/>
            <w:vMerge w:val="restart"/>
          </w:tcPr>
          <w:p>
            <w:pPr>
              <w:spacing w:after="0"/>
              <w:rPr>
                <w:sz w:val="20"/>
                <w:szCs w:val="20"/>
                <w:color w:val="auto"/>
              </w:rPr>
            </w:pPr>
            <w:r>
              <w:rPr>
                <w:rFonts w:ascii="Arial" w:cs="Arial" w:eastAsia="Arial" w:hAnsi="Arial"/>
                <w:sz w:val="13"/>
                <w:szCs w:val="13"/>
                <w:b w:val="1"/>
                <w:bCs w:val="1"/>
                <w:color w:val="auto"/>
                <w:w w:val="98"/>
              </w:rPr>
              <w:t>Non-Equity Incentive Plan Awards</w:t>
            </w:r>
          </w:p>
        </w:tc>
        <w:tc>
          <w:tcPr>
            <w:tcW w:w="600" w:type="dxa"/>
            <w:vAlign w:val="bottom"/>
          </w:tcPr>
          <w:p>
            <w:pPr>
              <w:spacing w:after="0"/>
              <w:rPr>
                <w:sz w:val="8"/>
                <w:szCs w:val="8"/>
                <w:color w:val="auto"/>
              </w:rPr>
            </w:pPr>
          </w:p>
        </w:tc>
        <w:tc>
          <w:tcPr>
            <w:tcW w:w="600" w:type="dxa"/>
            <w:vAlign w:val="bottom"/>
            <w:gridSpan w:val="3"/>
          </w:tcPr>
          <w:p>
            <w:pPr>
              <w:jc w:val="right"/>
              <w:spacing w:after="0" w:line="95" w:lineRule="exact"/>
              <w:rPr>
                <w:sz w:val="20"/>
                <w:szCs w:val="20"/>
                <w:color w:val="auto"/>
              </w:rPr>
            </w:pPr>
            <w:r>
              <w:rPr>
                <w:rFonts w:ascii="Arial" w:cs="Arial" w:eastAsia="Arial" w:hAnsi="Arial"/>
                <w:sz w:val="10"/>
                <w:szCs w:val="10"/>
                <w:b w:val="1"/>
                <w:bCs w:val="1"/>
                <w:color w:val="auto"/>
              </w:rPr>
              <w:t>(1)</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100" w:type="dxa"/>
            <w:vAlign w:val="bottom"/>
            <w:gridSpan w:val="6"/>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gridSpan w:val="3"/>
          </w:tcPr>
          <w:p>
            <w:pPr>
              <w:jc w:val="right"/>
              <w:ind w:right="140"/>
              <w:spacing w:after="0" w:line="81" w:lineRule="exact"/>
              <w:rPr>
                <w:sz w:val="20"/>
                <w:szCs w:val="20"/>
                <w:color w:val="auto"/>
              </w:rPr>
            </w:pPr>
            <w:r>
              <w:rPr>
                <w:rFonts w:ascii="Arial" w:cs="Arial" w:eastAsia="Arial" w:hAnsi="Arial"/>
                <w:sz w:val="9"/>
                <w:szCs w:val="9"/>
                <w:b w:val="1"/>
                <w:bCs w:val="1"/>
                <w:color w:val="auto"/>
              </w:rPr>
              <w:t>Awards</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1"/>
              </w:rPr>
              <w:t>Shares of</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3"/>
              </w:rPr>
              <w:t>Securities</w:t>
            </w: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Price of</w:t>
            </w: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and</w:t>
            </w: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60"/>
              <w:spacing w:after="0" w:line="143" w:lineRule="exact"/>
              <w:rPr>
                <w:sz w:val="20"/>
                <w:szCs w:val="20"/>
                <w:color w:val="auto"/>
              </w:rPr>
            </w:pPr>
            <w:r>
              <w:rPr>
                <w:rFonts w:ascii="Arial" w:cs="Arial" w:eastAsia="Arial" w:hAnsi="Arial"/>
                <w:sz w:val="13"/>
                <w:szCs w:val="13"/>
                <w:b w:val="1"/>
                <w:bCs w:val="1"/>
                <w:color w:val="auto"/>
                <w:w w:val="92"/>
              </w:rPr>
              <w:t>Stock or</w:t>
            </w:r>
          </w:p>
        </w:tc>
        <w:tc>
          <w:tcPr>
            <w:tcW w:w="74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w w:val="97"/>
              </w:rPr>
              <w:t>Underlying</w:t>
            </w:r>
          </w:p>
        </w:tc>
        <w:tc>
          <w:tcPr>
            <w:tcW w:w="60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w w:val="95"/>
              </w:rPr>
              <w:t>Option</w:t>
            </w:r>
          </w:p>
        </w:tc>
        <w:tc>
          <w:tcPr>
            <w:tcW w:w="6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Grant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2"/>
              </w:rPr>
              <w:t>Committee</w:t>
            </w: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Threshold</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Target</w:t>
            </w: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Maximum</w:t>
            </w:r>
          </w:p>
        </w:tc>
        <w:tc>
          <w:tcPr>
            <w:tcW w:w="600" w:type="dxa"/>
            <w:vAlign w:val="bottom"/>
          </w:tcPr>
          <w:p>
            <w:pPr>
              <w:spacing w:after="0"/>
              <w:rPr>
                <w:sz w:val="20"/>
                <w:szCs w:val="20"/>
                <w:color w:val="auto"/>
              </w:rPr>
            </w:pPr>
            <w:r>
              <w:rPr>
                <w:rFonts w:ascii="Arial" w:cs="Arial" w:eastAsia="Arial" w:hAnsi="Arial"/>
                <w:sz w:val="13"/>
                <w:szCs w:val="13"/>
                <w:b w:val="1"/>
                <w:bCs w:val="1"/>
                <w:color w:val="auto"/>
                <w:w w:val="92"/>
              </w:rPr>
              <w:t>Threshold</w:t>
            </w:r>
          </w:p>
        </w:tc>
        <w:tc>
          <w:tcPr>
            <w:tcW w:w="8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Target</w:t>
            </w: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Maximum</w:t>
            </w:r>
          </w:p>
        </w:tc>
        <w:tc>
          <w:tcPr>
            <w:tcW w:w="700" w:type="dxa"/>
            <w:vAlign w:val="bottom"/>
            <w:gridSpan w:val="2"/>
          </w:tcPr>
          <w:p>
            <w:pPr>
              <w:jc w:val="center"/>
              <w:ind w:right="60"/>
              <w:spacing w:after="0" w:line="168" w:lineRule="exact"/>
              <w:rPr>
                <w:sz w:val="20"/>
                <w:szCs w:val="20"/>
                <w:color w:val="auto"/>
              </w:rPr>
            </w:pPr>
            <w:r>
              <w:rPr>
                <w:rFonts w:ascii="Arial" w:cs="Arial" w:eastAsia="Arial" w:hAnsi="Arial"/>
                <w:sz w:val="12"/>
                <w:szCs w:val="12"/>
                <w:b w:val="1"/>
                <w:bCs w:val="1"/>
                <w:color w:val="auto"/>
                <w:w w:val="96"/>
              </w:rPr>
              <w:t>Units</w:t>
            </w:r>
            <w:r>
              <w:rPr>
                <w:rFonts w:ascii="Arial" w:cs="Arial" w:eastAsia="Arial" w:hAnsi="Arial"/>
                <w:sz w:val="19"/>
                <w:szCs w:val="19"/>
                <w:b w:val="1"/>
                <w:bCs w:val="1"/>
                <w:color w:val="auto"/>
                <w:w w:val="96"/>
                <w:vertAlign w:val="superscript"/>
              </w:rPr>
              <w:t>(2)</w:t>
            </w:r>
          </w:p>
        </w:tc>
        <w:tc>
          <w:tcPr>
            <w:tcW w:w="740" w:type="dxa"/>
            <w:vAlign w:val="bottom"/>
            <w:gridSpan w:val="2"/>
          </w:tcPr>
          <w:p>
            <w:pPr>
              <w:jc w:val="center"/>
              <w:ind w:right="80"/>
              <w:spacing w:after="0" w:line="168" w:lineRule="exact"/>
              <w:rPr>
                <w:sz w:val="20"/>
                <w:szCs w:val="20"/>
                <w:color w:val="auto"/>
              </w:rPr>
            </w:pPr>
            <w:r>
              <w:rPr>
                <w:rFonts w:ascii="Arial" w:cs="Arial" w:eastAsia="Arial" w:hAnsi="Arial"/>
                <w:sz w:val="12"/>
                <w:szCs w:val="12"/>
                <w:b w:val="1"/>
                <w:bCs w:val="1"/>
                <w:color w:val="auto"/>
                <w:w w:val="95"/>
              </w:rPr>
              <w:t>Options</w:t>
            </w:r>
            <w:r>
              <w:rPr>
                <w:rFonts w:ascii="Arial" w:cs="Arial" w:eastAsia="Arial" w:hAnsi="Arial"/>
                <w:sz w:val="19"/>
                <w:szCs w:val="19"/>
                <w:b w:val="1"/>
                <w:bCs w:val="1"/>
                <w:color w:val="auto"/>
                <w:w w:val="95"/>
                <w:vertAlign w:val="superscript"/>
              </w:rPr>
              <w:t>(3)</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Awards</w:t>
            </w:r>
          </w:p>
        </w:tc>
        <w:tc>
          <w:tcPr>
            <w:tcW w:w="620" w:type="dxa"/>
            <w:vAlign w:val="bottom"/>
          </w:tcPr>
          <w:p>
            <w:pPr>
              <w:jc w:val="center"/>
              <w:spacing w:after="0" w:line="168" w:lineRule="exact"/>
              <w:rPr>
                <w:sz w:val="20"/>
                <w:szCs w:val="20"/>
                <w:color w:val="auto"/>
              </w:rPr>
            </w:pPr>
            <w:r>
              <w:rPr>
                <w:rFonts w:ascii="Arial" w:cs="Arial" w:eastAsia="Arial" w:hAnsi="Arial"/>
                <w:sz w:val="12"/>
                <w:szCs w:val="12"/>
                <w:b w:val="1"/>
                <w:bCs w:val="1"/>
                <w:color w:val="auto"/>
                <w:w w:val="98"/>
              </w:rPr>
              <w:t>Awards</w:t>
            </w:r>
            <w:r>
              <w:rPr>
                <w:rFonts w:ascii="Arial" w:cs="Arial" w:eastAsia="Arial" w:hAnsi="Arial"/>
                <w:sz w:val="19"/>
                <w:szCs w:val="19"/>
                <w:b w:val="1"/>
                <w:bCs w:val="1"/>
                <w:color w:val="auto"/>
                <w:w w:val="98"/>
                <w:vertAlign w:val="superscript"/>
              </w:rPr>
              <w:t>(4)</w:t>
            </w:r>
          </w:p>
        </w:tc>
        <w:tc>
          <w:tcPr>
            <w:tcW w:w="0" w:type="dxa"/>
            <w:vAlign w:val="bottom"/>
          </w:tcPr>
          <w:p>
            <w:pPr>
              <w:spacing w:after="0"/>
              <w:rPr>
                <w:sz w:val="1"/>
                <w:szCs w:val="1"/>
                <w:color w:val="auto"/>
              </w:rPr>
            </w:pPr>
          </w:p>
        </w:tc>
      </w:tr>
      <w:tr>
        <w:trPr>
          <w:trHeight w:val="161"/>
        </w:trPr>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Date</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Approval</w:t>
            </w:r>
          </w:p>
        </w:tc>
        <w:tc>
          <w:tcPr>
            <w:tcW w:w="60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680" w:type="dxa"/>
            <w:vAlign w:val="bottom"/>
          </w:tcPr>
          <w:p>
            <w:pPr>
              <w:jc w:val="right"/>
              <w:ind w:right="193"/>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Arial" w:cs="Arial" w:eastAsia="Arial" w:hAnsi="Arial"/>
                <w:sz w:val="13"/>
                <w:szCs w:val="13"/>
                <w:b w:val="1"/>
                <w:bCs w:val="1"/>
                <w:color w:val="auto"/>
              </w:rPr>
              <w:t>(#)</w:t>
            </w:r>
          </w:p>
        </w:tc>
        <w:tc>
          <w:tcPr>
            <w:tcW w:w="52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600" w:type="dxa"/>
            <w:vAlign w:val="bottom"/>
          </w:tcPr>
          <w:p>
            <w:pPr>
              <w:jc w:val="right"/>
              <w:ind w:right="153"/>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u w:val="single" w:color="auto"/>
                <w:color w:val="auto"/>
                <w:w w:val="95"/>
              </w:rPr>
              <w:t>($</w:t>
            </w:r>
            <w:r>
              <w:rPr>
                <w:rFonts w:ascii="Arial" w:cs="Arial" w:eastAsia="Arial" w:hAnsi="Arial"/>
                <w:sz w:val="13"/>
                <w:szCs w:val="13"/>
                <w:b w:val="1"/>
                <w:bCs w:val="1"/>
                <w:color w:val="auto"/>
                <w:w w:val="95"/>
              </w:rPr>
              <w:t>/share)</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8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3"/>
                <w:szCs w:val="13"/>
                <w:color w:val="auto"/>
              </w:rPr>
              <w:t>Michael J.</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70,000</w:t>
            </w:r>
            <w:r>
              <w:rPr>
                <w:rFonts w:ascii="Arial" w:cs="Arial" w:eastAsia="Arial" w:hAnsi="Arial"/>
                <w:sz w:val="22"/>
                <w:szCs w:val="22"/>
                <w:color w:val="auto"/>
                <w:vertAlign w:val="superscript"/>
              </w:rPr>
              <w:t>(5)</w:t>
            </w:r>
          </w:p>
        </w:tc>
        <w:tc>
          <w:tcPr>
            <w:tcW w:w="6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3"/>
                <w:szCs w:val="13"/>
                <w:color w:val="auto"/>
                <w:w w:val="86"/>
              </w:rPr>
              <w:t>900,000</w:t>
            </w:r>
            <w:r>
              <w:rPr>
                <w:rFonts w:ascii="Arial" w:cs="Arial" w:eastAsia="Arial" w:hAnsi="Arial"/>
                <w:sz w:val="22"/>
                <w:szCs w:val="22"/>
                <w:color w:val="auto"/>
                <w:w w:val="86"/>
                <w:vertAlign w:val="superscript"/>
              </w:rPr>
              <w:t>(5)</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w w:val="87"/>
              </w:rPr>
              <w:t>2,857,500</w:t>
            </w:r>
            <w:r>
              <w:rPr>
                <w:rFonts w:ascii="Arial" w:cs="Arial" w:eastAsia="Arial" w:hAnsi="Arial"/>
                <w:sz w:val="22"/>
                <w:szCs w:val="22"/>
                <w:color w:val="auto"/>
                <w:w w:val="87"/>
                <w:vertAlign w:val="superscript"/>
              </w:rPr>
              <w:t>(5)</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Kasbar</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3/7/2019</w:t>
            </w:r>
          </w:p>
        </w:tc>
        <w:tc>
          <w:tcPr>
            <w:tcW w:w="6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3/7/2019</w:t>
            </w:r>
          </w:p>
        </w:tc>
        <w:tc>
          <w:tcPr>
            <w:tcW w:w="68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13"/>
                <w:szCs w:val="13"/>
                <w:color w:val="auto"/>
              </w:rPr>
              <w:t>750,000</w:t>
            </w:r>
            <w:r>
              <w:rPr>
                <w:rFonts w:ascii="Arial" w:cs="Arial" w:eastAsia="Arial" w:hAnsi="Arial"/>
                <w:sz w:val="22"/>
                <w:szCs w:val="22"/>
                <w:color w:val="auto"/>
                <w:vertAlign w:val="superscript"/>
              </w:rPr>
              <w:t>(6)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3/15/2019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3/7/2019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0"/>
              </w:rPr>
              <w:t>43,716</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109,290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218,580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1,000,004</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3/15/2019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3/7/2019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109,290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29.68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1,000,004</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3/15/2019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3/7/2019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59,396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1,762,873</w:t>
            </w:r>
          </w:p>
        </w:tc>
        <w:tc>
          <w:tcPr>
            <w:tcW w:w="0" w:type="dxa"/>
            <w:vAlign w:val="bottom"/>
          </w:tcPr>
          <w:p>
            <w:pPr>
              <w:spacing w:after="0"/>
              <w:rPr>
                <w:sz w:val="1"/>
                <w:szCs w:val="1"/>
                <w:color w:val="auto"/>
              </w:rPr>
            </w:pPr>
          </w:p>
        </w:tc>
      </w:tr>
      <w:tr>
        <w:trPr>
          <w:trHeight w:val="349"/>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Ira M. Birns</w:t>
            </w:r>
          </w:p>
        </w:tc>
        <w:tc>
          <w:tcPr>
            <w:tcW w:w="8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3/7/2019</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40,000</w:t>
            </w:r>
            <w:r>
              <w:rPr>
                <w:rFonts w:ascii="Arial" w:cs="Arial" w:eastAsia="Arial" w:hAnsi="Arial"/>
                <w:sz w:val="22"/>
                <w:szCs w:val="22"/>
                <w:color w:val="auto"/>
                <w:vertAlign w:val="superscript"/>
              </w:rPr>
              <w:t>(5)</w:t>
            </w:r>
          </w:p>
        </w:tc>
        <w:tc>
          <w:tcPr>
            <w:tcW w:w="660" w:type="dxa"/>
            <w:vAlign w:val="bottom"/>
            <w:gridSpan w:val="2"/>
          </w:tcPr>
          <w:p>
            <w:pPr>
              <w:jc w:val="center"/>
              <w:ind w:right="60"/>
              <w:spacing w:after="0"/>
              <w:rPr>
                <w:sz w:val="20"/>
                <w:szCs w:val="20"/>
                <w:color w:val="auto"/>
              </w:rPr>
            </w:pPr>
            <w:r>
              <w:rPr>
                <w:rFonts w:ascii="Arial" w:cs="Arial" w:eastAsia="Arial" w:hAnsi="Arial"/>
                <w:sz w:val="13"/>
                <w:szCs w:val="13"/>
                <w:color w:val="auto"/>
                <w:w w:val="86"/>
              </w:rPr>
              <w:t>360,000</w:t>
            </w:r>
            <w:r>
              <w:rPr>
                <w:rFonts w:ascii="Arial" w:cs="Arial" w:eastAsia="Arial" w:hAnsi="Arial"/>
                <w:sz w:val="22"/>
                <w:szCs w:val="22"/>
                <w:color w:val="auto"/>
                <w:w w:val="86"/>
                <w:vertAlign w:val="superscript"/>
              </w:rPr>
              <w:t>(5)</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87"/>
              </w:rPr>
              <w:t>1,170,000</w:t>
            </w:r>
            <w:r>
              <w:rPr>
                <w:rFonts w:ascii="Arial" w:cs="Arial" w:eastAsia="Arial" w:hAnsi="Arial"/>
                <w:sz w:val="22"/>
                <w:szCs w:val="22"/>
                <w:color w:val="auto"/>
                <w:w w:val="87"/>
                <w:vertAlign w:val="superscript"/>
              </w:rPr>
              <w:t>(5)</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3/7/2019</w:t>
            </w:r>
          </w:p>
        </w:tc>
        <w:tc>
          <w:tcPr>
            <w:tcW w:w="680" w:type="dxa"/>
            <w:vAlign w:val="bottom"/>
            <w:gridSpan w:val="2"/>
          </w:tcPr>
          <w:p>
            <w:pPr>
              <w:jc w:val="right"/>
              <w:ind w:right="80"/>
              <w:spacing w:after="0" w:line="248"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1"/>
                <w:szCs w:val="11"/>
                <w:color w:val="auto"/>
              </w:rPr>
              <w:t>(6)</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80"/>
              <w:spacing w:after="0" w:line="248" w:lineRule="exact"/>
              <w:rPr>
                <w:sz w:val="20"/>
                <w:szCs w:val="20"/>
                <w:color w:val="auto"/>
              </w:rPr>
            </w:pPr>
            <w:r>
              <w:rPr>
                <w:rFonts w:ascii="Arial" w:cs="Arial" w:eastAsia="Arial" w:hAnsi="Arial"/>
                <w:sz w:val="13"/>
                <w:szCs w:val="13"/>
                <w:color w:val="auto"/>
              </w:rPr>
              <w:t>300,000</w:t>
            </w:r>
            <w:r>
              <w:rPr>
                <w:rFonts w:ascii="Arial" w:cs="Arial" w:eastAsia="Arial" w:hAnsi="Arial"/>
                <w:sz w:val="22"/>
                <w:szCs w:val="22"/>
                <w:color w:val="auto"/>
                <w:vertAlign w:val="superscript"/>
              </w:rPr>
              <w:t>(6)</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3/15/2019</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3/7/2019</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Arial" w:cs="Arial" w:eastAsia="Arial" w:hAnsi="Arial"/>
                <w:sz w:val="13"/>
                <w:szCs w:val="13"/>
                <w:color w:val="auto"/>
                <w:w w:val="90"/>
              </w:rPr>
              <w:t>21,858</w:t>
            </w: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54,645</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109,290</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500,002</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3/15/2019</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3/7/2019</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23,420</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695,106</w:t>
            </w:r>
          </w:p>
        </w:tc>
        <w:tc>
          <w:tcPr>
            <w:tcW w:w="0" w:type="dxa"/>
            <w:vAlign w:val="bottom"/>
          </w:tcPr>
          <w:p>
            <w:pPr>
              <w:spacing w:after="0"/>
              <w:rPr>
                <w:sz w:val="1"/>
                <w:szCs w:val="1"/>
                <w:color w:val="auto"/>
              </w:rPr>
            </w:pPr>
          </w:p>
        </w:tc>
      </w:tr>
      <w:tr>
        <w:trPr>
          <w:trHeight w:val="297"/>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Jeffrey P. Smith</w:t>
            </w:r>
          </w:p>
        </w:tc>
        <w:tc>
          <w:tcPr>
            <w:tcW w:w="8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3/7/2019</w:t>
            </w:r>
          </w:p>
        </w:tc>
        <w:tc>
          <w:tcPr>
            <w:tcW w:w="68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13"/>
                <w:szCs w:val="13"/>
                <w:color w:val="auto"/>
              </w:rPr>
              <w:t>40,000</w:t>
            </w:r>
            <w:r>
              <w:rPr>
                <w:rFonts w:ascii="Arial" w:cs="Arial" w:eastAsia="Arial" w:hAnsi="Arial"/>
                <w:sz w:val="22"/>
                <w:szCs w:val="22"/>
                <w:color w:val="auto"/>
                <w:vertAlign w:val="superscript"/>
              </w:rPr>
              <w:t>(5)</w:t>
            </w:r>
          </w:p>
        </w:tc>
        <w:tc>
          <w:tcPr>
            <w:tcW w:w="660" w:type="dxa"/>
            <w:vAlign w:val="bottom"/>
            <w:gridSpan w:val="2"/>
            <w:shd w:val="clear" w:color="auto" w:fill="CCEEFF"/>
          </w:tcPr>
          <w:p>
            <w:pPr>
              <w:jc w:val="center"/>
              <w:ind w:right="60"/>
              <w:spacing w:after="0" w:line="216" w:lineRule="exact"/>
              <w:rPr>
                <w:sz w:val="20"/>
                <w:szCs w:val="20"/>
                <w:color w:val="auto"/>
              </w:rPr>
            </w:pPr>
            <w:r>
              <w:rPr>
                <w:rFonts w:ascii="Arial" w:cs="Arial" w:eastAsia="Arial" w:hAnsi="Arial"/>
                <w:sz w:val="13"/>
                <w:szCs w:val="13"/>
                <w:color w:val="auto"/>
                <w:w w:val="86"/>
              </w:rPr>
              <w:t>360,000</w:t>
            </w:r>
            <w:r>
              <w:rPr>
                <w:rFonts w:ascii="Arial" w:cs="Arial" w:eastAsia="Arial" w:hAnsi="Arial"/>
                <w:sz w:val="22"/>
                <w:szCs w:val="22"/>
                <w:color w:val="auto"/>
                <w:w w:val="86"/>
                <w:vertAlign w:val="superscript"/>
              </w:rPr>
              <w:t>(5)</w:t>
            </w:r>
          </w:p>
        </w:tc>
        <w:tc>
          <w:tcPr>
            <w:tcW w:w="76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13"/>
                <w:szCs w:val="13"/>
                <w:color w:val="auto"/>
                <w:w w:val="87"/>
              </w:rPr>
              <w:t>1,170,000</w:t>
            </w:r>
            <w:r>
              <w:rPr>
                <w:rFonts w:ascii="Arial" w:cs="Arial" w:eastAsia="Arial" w:hAnsi="Arial"/>
                <w:sz w:val="22"/>
                <w:szCs w:val="22"/>
                <w:color w:val="auto"/>
                <w:w w:val="87"/>
                <w:vertAlign w:val="superscript"/>
              </w:rPr>
              <w:t>(5)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3/7/2019</w:t>
            </w:r>
          </w:p>
        </w:tc>
        <w:tc>
          <w:tcPr>
            <w:tcW w:w="68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13"/>
                <w:szCs w:val="13"/>
                <w:color w:val="auto"/>
              </w:rPr>
              <w:t>300,000</w:t>
            </w:r>
            <w:r>
              <w:rPr>
                <w:rFonts w:ascii="Arial" w:cs="Arial" w:eastAsia="Arial" w:hAnsi="Arial"/>
                <w:sz w:val="22"/>
                <w:szCs w:val="22"/>
                <w:color w:val="auto"/>
                <w:vertAlign w:val="superscript"/>
              </w:rPr>
              <w:t>(6)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3/15/2019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3/7/2019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0"/>
              </w:rPr>
              <w:t>21,858</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54,645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109,290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500,002</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3/15/2019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3/7/2019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23,420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695,106</w:t>
            </w:r>
          </w:p>
        </w:tc>
        <w:tc>
          <w:tcPr>
            <w:tcW w:w="0" w:type="dxa"/>
            <w:vAlign w:val="bottom"/>
          </w:tcPr>
          <w:p>
            <w:pPr>
              <w:spacing w:after="0"/>
              <w:rPr>
                <w:sz w:val="1"/>
                <w:szCs w:val="1"/>
                <w:color w:val="auto"/>
              </w:rPr>
            </w:pPr>
          </w:p>
        </w:tc>
      </w:tr>
      <w:tr>
        <w:trPr>
          <w:trHeight w:val="349"/>
        </w:trPr>
        <w:tc>
          <w:tcPr>
            <w:tcW w:w="980" w:type="dxa"/>
            <w:vAlign w:val="bottom"/>
            <w:gridSpan w:val="2"/>
          </w:tcPr>
          <w:p>
            <w:pPr>
              <w:ind w:left="20"/>
              <w:spacing w:after="0"/>
              <w:rPr>
                <w:sz w:val="20"/>
                <w:szCs w:val="20"/>
                <w:color w:val="auto"/>
              </w:rPr>
            </w:pPr>
            <w:r>
              <w:rPr>
                <w:rFonts w:ascii="Arial" w:cs="Arial" w:eastAsia="Arial" w:hAnsi="Arial"/>
                <w:sz w:val="13"/>
                <w:szCs w:val="13"/>
                <w:color w:val="auto"/>
              </w:rPr>
              <w:t>Michael Crosby</w:t>
            </w:r>
          </w:p>
        </w:tc>
        <w:tc>
          <w:tcPr>
            <w:tcW w:w="8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3/7/2019</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50,000</w:t>
            </w:r>
            <w:r>
              <w:rPr>
                <w:rFonts w:ascii="Arial" w:cs="Arial" w:eastAsia="Arial" w:hAnsi="Arial"/>
                <w:sz w:val="22"/>
                <w:szCs w:val="22"/>
                <w:color w:val="auto"/>
                <w:vertAlign w:val="superscript"/>
              </w:rPr>
              <w:t>(5)</w:t>
            </w:r>
          </w:p>
        </w:tc>
        <w:tc>
          <w:tcPr>
            <w:tcW w:w="660" w:type="dxa"/>
            <w:vAlign w:val="bottom"/>
            <w:gridSpan w:val="2"/>
          </w:tcPr>
          <w:p>
            <w:pPr>
              <w:jc w:val="center"/>
              <w:ind w:right="60"/>
              <w:spacing w:after="0"/>
              <w:rPr>
                <w:sz w:val="20"/>
                <w:szCs w:val="20"/>
                <w:color w:val="auto"/>
              </w:rPr>
            </w:pPr>
            <w:r>
              <w:rPr>
                <w:rFonts w:ascii="Arial" w:cs="Arial" w:eastAsia="Arial" w:hAnsi="Arial"/>
                <w:sz w:val="13"/>
                <w:szCs w:val="13"/>
                <w:color w:val="auto"/>
                <w:w w:val="86"/>
              </w:rPr>
              <w:t>750,000</w:t>
            </w:r>
            <w:r>
              <w:rPr>
                <w:rFonts w:ascii="Arial" w:cs="Arial" w:eastAsia="Arial" w:hAnsi="Arial"/>
                <w:sz w:val="22"/>
                <w:szCs w:val="22"/>
                <w:color w:val="auto"/>
                <w:w w:val="86"/>
                <w:vertAlign w:val="superscript"/>
              </w:rPr>
              <w:t>(5)</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87"/>
              </w:rPr>
              <w:t>1,985,000</w:t>
            </w:r>
            <w:r>
              <w:rPr>
                <w:rFonts w:ascii="Arial" w:cs="Arial" w:eastAsia="Arial" w:hAnsi="Arial"/>
                <w:sz w:val="22"/>
                <w:szCs w:val="22"/>
                <w:color w:val="auto"/>
                <w:w w:val="87"/>
                <w:vertAlign w:val="superscript"/>
              </w:rPr>
              <w:t>(5)</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3/7/2019</w:t>
            </w:r>
          </w:p>
        </w:tc>
        <w:tc>
          <w:tcPr>
            <w:tcW w:w="680" w:type="dxa"/>
            <w:vAlign w:val="bottom"/>
            <w:gridSpan w:val="2"/>
          </w:tcPr>
          <w:p>
            <w:pPr>
              <w:jc w:val="right"/>
              <w:ind w:right="80"/>
              <w:spacing w:after="0" w:line="248"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1"/>
                <w:szCs w:val="11"/>
                <w:color w:val="auto"/>
              </w:rPr>
              <w:t>(6)</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80"/>
              <w:spacing w:after="0" w:line="248" w:lineRule="exact"/>
              <w:rPr>
                <w:sz w:val="20"/>
                <w:szCs w:val="20"/>
                <w:color w:val="auto"/>
              </w:rPr>
            </w:pPr>
            <w:r>
              <w:rPr>
                <w:rFonts w:ascii="Arial" w:cs="Arial" w:eastAsia="Arial" w:hAnsi="Arial"/>
                <w:sz w:val="13"/>
                <w:szCs w:val="13"/>
                <w:color w:val="auto"/>
              </w:rPr>
              <w:t>150,000</w:t>
            </w:r>
            <w:r>
              <w:rPr>
                <w:rFonts w:ascii="Arial" w:cs="Arial" w:eastAsia="Arial" w:hAnsi="Arial"/>
                <w:sz w:val="22"/>
                <w:szCs w:val="22"/>
                <w:color w:val="auto"/>
                <w:vertAlign w:val="superscript"/>
              </w:rPr>
              <w:t>(6)</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3/15/2019</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3/7/2019</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Arial" w:cs="Arial" w:eastAsia="Arial" w:hAnsi="Arial"/>
                <w:sz w:val="13"/>
                <w:szCs w:val="13"/>
                <w:color w:val="auto"/>
                <w:w w:val="90"/>
              </w:rPr>
              <w:t>13,115</w:t>
            </w: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32,787</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65,574</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300,002</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3/15/2019</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3/7/2019</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15,902</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471,971</w:t>
            </w:r>
          </w:p>
        </w:tc>
        <w:tc>
          <w:tcPr>
            <w:tcW w:w="0" w:type="dxa"/>
            <w:vAlign w:val="bottom"/>
          </w:tcPr>
          <w:p>
            <w:pPr>
              <w:spacing w:after="0"/>
              <w:rPr>
                <w:sz w:val="1"/>
                <w:szCs w:val="1"/>
                <w:color w:val="auto"/>
              </w:rPr>
            </w:pPr>
          </w:p>
        </w:tc>
      </w:tr>
      <w:tr>
        <w:trPr>
          <w:trHeight w:val="324"/>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John Rau</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3/7/2019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100,000</w:t>
            </w:r>
            <w:r>
              <w:rPr>
                <w:rFonts w:ascii="Arial" w:cs="Arial" w:eastAsia="Arial" w:hAnsi="Arial"/>
                <w:sz w:val="22"/>
                <w:szCs w:val="22"/>
                <w:color w:val="auto"/>
                <w:w w:val="89"/>
                <w:vertAlign w:val="superscript"/>
              </w:rPr>
              <w:t>(5)</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6"/>
              </w:rPr>
              <w:t>750,000</w:t>
            </w:r>
            <w:r>
              <w:rPr>
                <w:rFonts w:ascii="Arial" w:cs="Arial" w:eastAsia="Arial" w:hAnsi="Arial"/>
                <w:sz w:val="22"/>
                <w:szCs w:val="22"/>
                <w:color w:val="auto"/>
                <w:w w:val="86"/>
                <w:vertAlign w:val="superscript"/>
              </w:rPr>
              <w:t>(5)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7"/>
              </w:rPr>
              <w:t>1,985,000</w:t>
            </w:r>
            <w:r>
              <w:rPr>
                <w:rFonts w:ascii="Arial" w:cs="Arial" w:eastAsia="Arial" w:hAnsi="Arial"/>
                <w:sz w:val="22"/>
                <w:szCs w:val="22"/>
                <w:color w:val="auto"/>
                <w:w w:val="87"/>
                <w:vertAlign w:val="superscript"/>
              </w:rPr>
              <w:t>(5)</w:t>
            </w: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3/7/2019</w:t>
            </w:r>
          </w:p>
        </w:tc>
        <w:tc>
          <w:tcPr>
            <w:tcW w:w="68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13"/>
                <w:szCs w:val="13"/>
                <w:color w:val="auto"/>
              </w:rPr>
              <w:t>150,000</w:t>
            </w:r>
            <w:r>
              <w:rPr>
                <w:rFonts w:ascii="Arial" w:cs="Arial" w:eastAsia="Arial" w:hAnsi="Arial"/>
                <w:sz w:val="22"/>
                <w:szCs w:val="22"/>
                <w:color w:val="auto"/>
                <w:vertAlign w:val="superscript"/>
              </w:rPr>
              <w:t>(6)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3/15/2019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3/7/2019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0"/>
              </w:rPr>
              <w:t>13,115</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32,787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65,574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300,002</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3/15/2019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3/7/2019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15,902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471,971</w:t>
            </w:r>
          </w:p>
        </w:tc>
        <w:tc>
          <w:tcPr>
            <w:tcW w:w="0" w:type="dxa"/>
            <w:vAlign w:val="bottom"/>
          </w:tcPr>
          <w:p>
            <w:pPr>
              <w:spacing w:after="0"/>
              <w:rPr>
                <w:sz w:val="1"/>
                <w:szCs w:val="1"/>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320" w:hanging="549"/>
        <w:spacing w:after="0" w:line="257" w:lineRule="auto"/>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amounts shown reflect the Performance SSAR awards issued under the PSP at the threshold, target and maximum levels based on the EPS Growth, as modified by our ROIC, for the three-year period beginning on January 1, 2019 and</w:t>
      </w:r>
    </w:p>
    <w:p>
      <w:pPr>
        <w:sectPr>
          <w:pgSz w:w="11900" w:h="16838" w:orient="portrait"/>
          <w:cols w:equalWidth="0" w:num="1">
            <w:col w:w="11240"/>
          </w:cols>
          <w:pgMar w:left="320" w:top="131" w:right="339" w:bottom="1440" w:gutter="0" w:footer="0" w:header="0"/>
        </w:sectPr>
      </w:pPr>
    </w:p>
    <w:p>
      <w:pPr>
        <w:spacing w:after="0" w:line="1" w:lineRule="exact"/>
        <w:rPr>
          <w:sz w:val="20"/>
          <w:szCs w:val="20"/>
          <w:color w:val="auto"/>
        </w:rPr>
      </w:pPr>
    </w:p>
    <w:p>
      <w:pPr>
        <w:ind w:left="6360"/>
        <w:spacing w:after="0"/>
        <w:tabs>
          <w:tab w:leader="none" w:pos="9060" w:val="left"/>
          <w:tab w:leader="none" w:pos="9300" w:val="left"/>
          <w:tab w:leader="none" w:pos="110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1361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1680" w:right="60"/>
        <w:spacing w:after="0" w:line="250" w:lineRule="auto"/>
        <w:rPr>
          <w:sz w:val="20"/>
          <w:szCs w:val="20"/>
          <w:color w:val="auto"/>
        </w:rPr>
      </w:pPr>
      <w:r>
        <w:rPr>
          <w:rFonts w:ascii="Arial" w:cs="Arial" w:eastAsia="Arial" w:hAnsi="Arial"/>
          <w:sz w:val="13"/>
          <w:szCs w:val="13"/>
          <w:color w:val="auto"/>
        </w:rPr>
        <w:t>ending on December 31, 2021. Depending on the percentage of ROIC achieved for the period, the range of payout based on EPS Growth will be as follows: (i) threshold—40% to 60% of target, (ii) target—80% to 120% of target, (iii) maximum—160% to 200% of target. For purposes of this table, the lowest level of the threshold range, the mid-point of the target range and the highest level of the maximum range is assumed. Please see the discussion regarding the compensation programs for the NEOs beginning on page 44 of this proxy statement for additional information.</w:t>
      </w:r>
    </w:p>
    <w:p>
      <w:pPr>
        <w:spacing w:after="0" w:line="174" w:lineRule="exact"/>
        <w:rPr>
          <w:sz w:val="20"/>
          <w:szCs w:val="20"/>
          <w:color w:val="auto"/>
        </w:rPr>
      </w:pPr>
    </w:p>
    <w:p>
      <w:pPr>
        <w:ind w:left="1680" w:right="300" w:hanging="549"/>
        <w:spacing w:after="0" w:line="274"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amounts shown reflect the RSUs issued as the 2018 annual performance-related equity incentive awards based on our 2018 adjusted EBITDA of $360.3 million. These RSUs are thereafter subject to service-based vesting and vest one-third annually beginning March 2020.</w:t>
      </w:r>
    </w:p>
    <w:p>
      <w:pPr>
        <w:spacing w:after="0" w:line="90" w:lineRule="exact"/>
        <w:rPr>
          <w:rFonts w:ascii="Arial" w:cs="Arial" w:eastAsia="Arial" w:hAnsi="Arial"/>
          <w:sz w:val="13"/>
          <w:szCs w:val="13"/>
          <w:color w:val="auto"/>
        </w:rPr>
      </w:pPr>
    </w:p>
    <w:p>
      <w:pPr>
        <w:ind w:left="1680" w:right="160" w:hanging="549"/>
        <w:spacing w:after="0" w:line="274"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amount shown reflects a service-based SSAR award that will vest on the third anniversary of the grant date in March 2022. Please see the discussion regarding this award on page 49 of this proxy statement for additional information.</w:t>
      </w:r>
    </w:p>
    <w:p>
      <w:pPr>
        <w:spacing w:after="0" w:line="90" w:lineRule="exact"/>
        <w:rPr>
          <w:rFonts w:ascii="Arial" w:cs="Arial" w:eastAsia="Arial" w:hAnsi="Arial"/>
          <w:sz w:val="13"/>
          <w:szCs w:val="13"/>
          <w:color w:val="auto"/>
        </w:rPr>
      </w:pPr>
    </w:p>
    <w:p>
      <w:pPr>
        <w:ind w:left="1680" w:right="160" w:hanging="549"/>
        <w:spacing w:after="0" w:line="274"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amounts shown reflect the estimated aggregate grant date fair value of the stock awards. The estimated aggregate fair value of our stock awards is based on the grant date market value of our common stock, as defined in the 2016 Omnibus Plan and is computed in accordance with FASB ASC Topic 718.</w:t>
      </w:r>
    </w:p>
    <w:p>
      <w:pPr>
        <w:spacing w:after="0" w:line="90" w:lineRule="exact"/>
        <w:rPr>
          <w:rFonts w:ascii="Arial" w:cs="Arial" w:eastAsia="Arial" w:hAnsi="Arial"/>
          <w:sz w:val="13"/>
          <w:szCs w:val="13"/>
          <w:color w:val="auto"/>
        </w:rPr>
      </w:pPr>
    </w:p>
    <w:p>
      <w:pPr>
        <w:ind w:left="1680" w:hanging="549"/>
        <w:spacing w:after="0" w:line="243"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amounts shown reflect the threshold, target and maximum payouts that could have been earned as 2019 annual performance related cash incentive awards. For 2019, our adjusted EBITDA was $409.2 million and as a result, Mr. Kasbar earned $1,868,903, Messrs. Birns and Smith each earned $734,614 and Messrs. Crosby and Rau each earned $535,629 for the EBITDA component of their annual incentive compensation program. For Messrs. Crosby and Rau, this also includes cash incentive awards that could be earned based on Operating Income growth for the respective LOS for which they are responsible. For 2019, the Operating Income for the Physical Operations LOS exceeded the maximum level and the Operating Income for the Land LOS did not meet the threshold level. Accordingly, Mr. Crosby earned the maximum of $300,000 for the Physical Operations component and zero for the Land component. The Operating Income for the Aviation/Marine LOS was between the target and maximum level and therefore Mr. Rau earned $612,319 for this component. Please see the discussion regarding the compensation programs for the NEOs beginning on page 44 of this proxy statement for additional information.</w:t>
      </w:r>
    </w:p>
    <w:p>
      <w:pPr>
        <w:spacing w:after="0" w:line="112" w:lineRule="exact"/>
        <w:rPr>
          <w:rFonts w:ascii="Arial" w:cs="Arial" w:eastAsia="Arial" w:hAnsi="Arial"/>
          <w:sz w:val="13"/>
          <w:szCs w:val="13"/>
          <w:color w:val="auto"/>
        </w:rPr>
      </w:pPr>
    </w:p>
    <w:p>
      <w:pPr>
        <w:jc w:val="both"/>
        <w:ind w:left="1680" w:right="100" w:hanging="549"/>
        <w:spacing w:after="0" w:line="251"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amounts shown include the threshold and maximum payouts that could have been earned as strategic objective cash incentive awards. For 2019, the NEOs achieved only a portion of their strategic objectives and therefore the Committee reduced the amounts payable to the NEOs. Please see the discussion regarding the compensation programs for the NEOs beginning on page 44 of this proxy statement for additional information.</w:t>
      </w: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13613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Outstanding Equity Awards at Fiscal Year-End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the outstanding equity awards at fiscal year-end, or December 31, 2019, for our named executive officers.</w:t>
      </w:r>
    </w:p>
    <w:p>
      <w:pPr>
        <w:spacing w:after="0" w:line="37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vMerge w:val="restart"/>
          </w:tcPr>
          <w:p>
            <w:pPr>
              <w:jc w:val="right"/>
              <w:ind w:right="280"/>
              <w:spacing w:after="0"/>
              <w:rPr>
                <w:sz w:val="20"/>
                <w:szCs w:val="20"/>
                <w:color w:val="auto"/>
              </w:rPr>
            </w:pPr>
            <w:r>
              <w:rPr>
                <w:rFonts w:ascii="Arial" w:cs="Arial" w:eastAsia="Arial" w:hAnsi="Arial"/>
                <w:sz w:val="13"/>
                <w:szCs w:val="13"/>
                <w:b w:val="1"/>
                <w:bCs w:val="1"/>
                <w:color w:val="auto"/>
              </w:rPr>
              <w:t>Option Awards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3"/>
                <w:szCs w:val="13"/>
                <w:b w:val="1"/>
                <w:bCs w:val="1"/>
                <w:color w:val="auto"/>
              </w:rPr>
              <w:t>Stock Awards</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5"/>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4"/>
              </w:rPr>
              <w:t>Equity Incentive</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Equity</w:t>
            </w: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gridSpan w:val="4"/>
          </w:tcPr>
          <w:p>
            <w:pPr>
              <w:jc w:val="center"/>
              <w:ind w:right="160"/>
              <w:spacing w:after="0" w:line="134" w:lineRule="exact"/>
              <w:rPr>
                <w:sz w:val="20"/>
                <w:szCs w:val="20"/>
                <w:color w:val="auto"/>
              </w:rPr>
            </w:pPr>
            <w:r>
              <w:rPr>
                <w:rFonts w:ascii="Arial" w:cs="Arial" w:eastAsia="Arial" w:hAnsi="Arial"/>
                <w:sz w:val="13"/>
                <w:szCs w:val="13"/>
                <w:b w:val="1"/>
                <w:bCs w:val="1"/>
                <w:color w:val="auto"/>
                <w:w w:val="94"/>
              </w:rPr>
              <w:t>Plan Awards</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gridSpan w:val="2"/>
            <w:vMerge w:val="restart"/>
          </w:tcPr>
          <w:p>
            <w:pPr>
              <w:jc w:val="center"/>
              <w:ind w:right="140"/>
              <w:spacing w:after="0" w:line="123" w:lineRule="exact"/>
              <w:rPr>
                <w:sz w:val="20"/>
                <w:szCs w:val="20"/>
                <w:color w:val="auto"/>
              </w:rPr>
            </w:pPr>
            <w:r>
              <w:rPr>
                <w:rFonts w:ascii="Arial" w:cs="Arial" w:eastAsia="Arial" w:hAnsi="Arial"/>
                <w:sz w:val="13"/>
                <w:szCs w:val="13"/>
                <w:b w:val="1"/>
                <w:bCs w:val="1"/>
                <w:color w:val="auto"/>
                <w:w w:val="95"/>
              </w:rPr>
              <w:t>Incentive</w:t>
            </w: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9"/>
              </w:rPr>
              <w:t>Market or</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4"/>
              </w:rPr>
              <w:t>Plan</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5"/>
              </w:rPr>
              <w:t>Number of</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Awards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Market</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Unearned</w:t>
            </w: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Payout Value</w:t>
            </w: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5"/>
              </w:rPr>
              <w:t>Number of</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5"/>
              </w:rPr>
              <w:t>Number of</w:t>
            </w:r>
          </w:p>
        </w:tc>
        <w:tc>
          <w:tcPr>
            <w:tcW w:w="9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0"/>
              </w:rPr>
              <w:t>Value of</w:t>
            </w:r>
          </w:p>
        </w:tc>
        <w:tc>
          <w:tcPr>
            <w:tcW w:w="92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9"/>
              </w:rPr>
              <w:t>Shares,</w:t>
            </w:r>
          </w:p>
        </w:tc>
        <w:tc>
          <w:tcPr>
            <w:tcW w:w="10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2"/>
              </w:rPr>
              <w:t>of Unearned</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7"/>
          </w:tcPr>
          <w:p>
            <w:pPr>
              <w:jc w:val="center"/>
              <w:ind w:right="120"/>
              <w:spacing w:after="0"/>
              <w:rPr>
                <w:sz w:val="20"/>
                <w:szCs w:val="20"/>
                <w:color w:val="auto"/>
              </w:rPr>
            </w:pPr>
            <w:r>
              <w:rPr>
                <w:rFonts w:ascii="Arial" w:cs="Arial" w:eastAsia="Arial" w:hAnsi="Arial"/>
                <w:sz w:val="13"/>
                <w:szCs w:val="13"/>
                <w:b w:val="1"/>
                <w:bCs w:val="1"/>
                <w:color w:val="auto"/>
                <w:w w:val="93"/>
              </w:rPr>
              <w:t>Number of Securities</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Securities</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Shares or</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Shares or</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Units or</w:t>
            </w: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Shares, Units</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7"/>
          </w:tcPr>
          <w:p>
            <w:pPr>
              <w:jc w:val="center"/>
              <w:ind w:right="120"/>
              <w:spacing w:after="0"/>
              <w:rPr>
                <w:sz w:val="20"/>
                <w:szCs w:val="20"/>
                <w:color w:val="auto"/>
              </w:rPr>
            </w:pPr>
            <w:r>
              <w:rPr>
                <w:rFonts w:ascii="Arial" w:cs="Arial" w:eastAsia="Arial" w:hAnsi="Arial"/>
                <w:sz w:val="13"/>
                <w:szCs w:val="13"/>
                <w:b w:val="1"/>
                <w:bCs w:val="1"/>
                <w:color w:val="auto"/>
                <w:w w:val="92"/>
              </w:rPr>
              <w:t>Underlying Unexercised</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Underlying</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Units of</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Units of</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Other</w:t>
            </w: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or Other</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7"/>
          </w:tcPr>
          <w:p>
            <w:pPr>
              <w:jc w:val="center"/>
              <w:ind w:right="120"/>
              <w:spacing w:after="0"/>
              <w:rPr>
                <w:sz w:val="20"/>
                <w:szCs w:val="20"/>
                <w:color w:val="auto"/>
              </w:rPr>
            </w:pPr>
            <w:r>
              <w:rPr>
                <w:rFonts w:ascii="Arial" w:cs="Arial" w:eastAsia="Arial" w:hAnsi="Arial"/>
                <w:sz w:val="13"/>
                <w:szCs w:val="13"/>
                <w:b w:val="1"/>
                <w:bCs w:val="1"/>
                <w:color w:val="auto"/>
                <w:w w:val="93"/>
              </w:rPr>
              <w:t>Options/SSARs</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Unexercised</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Option</w:t>
            </w: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Option</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Stock That</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Stock That</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Rights</w:t>
            </w: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Rights That</w:t>
            </w: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rPr>
              <w: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3"/>
              </w:rPr>
              <w:t>Unearned</w:t>
            </w: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9"/>
              </w:rPr>
              <w:t>Exercise</w:t>
            </w:r>
          </w:p>
        </w:tc>
        <w:tc>
          <w:tcPr>
            <w:tcW w:w="880" w:type="dxa"/>
            <w:vAlign w:val="bottom"/>
            <w:gridSpan w:val="2"/>
            <w:vMerge w:val="continue"/>
          </w:tcPr>
          <w:p>
            <w:pPr>
              <w:spacing w:after="0"/>
              <w:rPr>
                <w:sz w:val="10"/>
                <w:szCs w:val="10"/>
                <w:color w:val="auto"/>
              </w:rPr>
            </w:pPr>
          </w:p>
        </w:tc>
        <w:tc>
          <w:tcPr>
            <w:tcW w:w="9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5"/>
              </w:rPr>
              <w:t>Have Not</w:t>
            </w:r>
          </w:p>
        </w:tc>
        <w:tc>
          <w:tcPr>
            <w:tcW w:w="9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5"/>
              </w:rPr>
              <w:t>Have Not</w:t>
            </w:r>
          </w:p>
        </w:tc>
        <w:tc>
          <w:tcPr>
            <w:tcW w:w="92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6"/>
              </w:rPr>
              <w:t>That Have</w:t>
            </w:r>
          </w:p>
        </w:tc>
        <w:tc>
          <w:tcPr>
            <w:tcW w:w="10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5"/>
              </w:rPr>
              <w:t>Have Not</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Options</w:t>
            </w: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4"/>
              </w:rPr>
              <w:t>Price</w:t>
            </w: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Expiration</w:t>
            </w: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Vested</w:t>
            </w:r>
          </w:p>
        </w:tc>
        <w:tc>
          <w:tcPr>
            <w:tcW w:w="900" w:type="dxa"/>
            <w:vAlign w:val="bottom"/>
            <w:gridSpan w:val="2"/>
            <w:vMerge w:val="restart"/>
          </w:tcPr>
          <w:p>
            <w:pPr>
              <w:jc w:val="center"/>
              <w:ind w:right="160"/>
              <w:spacing w:after="0" w:line="163" w:lineRule="exact"/>
              <w:rPr>
                <w:sz w:val="20"/>
                <w:szCs w:val="20"/>
                <w:color w:val="auto"/>
              </w:rPr>
            </w:pPr>
            <w:r>
              <w:rPr>
                <w:rFonts w:ascii="Arial" w:cs="Arial" w:eastAsia="Arial" w:hAnsi="Arial"/>
                <w:sz w:val="11"/>
                <w:szCs w:val="11"/>
                <w:b w:val="1"/>
                <w:bCs w:val="1"/>
                <w:color w:val="auto"/>
                <w:w w:val="98"/>
              </w:rPr>
              <w:t>Vested</w:t>
            </w:r>
            <w:r>
              <w:rPr>
                <w:rFonts w:ascii="Arial" w:cs="Arial" w:eastAsia="Arial" w:hAnsi="Arial"/>
                <w:sz w:val="18"/>
                <w:szCs w:val="18"/>
                <w:b w:val="1"/>
                <w:bCs w:val="1"/>
                <w:color w:val="auto"/>
                <w:w w:val="98"/>
                <w:vertAlign w:val="superscript"/>
              </w:rPr>
              <w:t>(1)</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1"/>
              </w:rPr>
              <w:t>Not Vested</w:t>
            </w:r>
          </w:p>
        </w:tc>
        <w:tc>
          <w:tcPr>
            <w:tcW w:w="1060" w:type="dxa"/>
            <w:vAlign w:val="bottom"/>
            <w:gridSpan w:val="2"/>
            <w:vMerge w:val="restart"/>
          </w:tcPr>
          <w:p>
            <w:pPr>
              <w:jc w:val="center"/>
              <w:ind w:right="160"/>
              <w:spacing w:after="0" w:line="163" w:lineRule="exact"/>
              <w:rPr>
                <w:sz w:val="20"/>
                <w:szCs w:val="20"/>
                <w:color w:val="auto"/>
              </w:rPr>
            </w:pPr>
            <w:r>
              <w:rPr>
                <w:rFonts w:ascii="Arial" w:cs="Arial" w:eastAsia="Arial" w:hAnsi="Arial"/>
                <w:sz w:val="11"/>
                <w:szCs w:val="11"/>
                <w:b w:val="1"/>
                <w:bCs w:val="1"/>
                <w:color w:val="auto"/>
                <w:w w:val="98"/>
              </w:rPr>
              <w:t>Vested</w:t>
            </w:r>
            <w:r>
              <w:rPr>
                <w:rFonts w:ascii="Arial" w:cs="Arial" w:eastAsia="Arial" w:hAnsi="Arial"/>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89"/>
        </w:trPr>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9"/>
              </w:rPr>
              <w:t>Exercisable</w:t>
            </w:r>
          </w:p>
        </w:tc>
        <w:tc>
          <w:tcPr>
            <w:tcW w:w="120" w:type="dxa"/>
            <w:vAlign w:val="bottom"/>
          </w:tcPr>
          <w:p>
            <w:pPr>
              <w:spacing w:after="0"/>
              <w:rPr>
                <w:sz w:val="14"/>
                <w:szCs w:val="14"/>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b w:val="1"/>
                <w:bCs w:val="1"/>
                <w:color w:val="auto"/>
              </w:rPr>
              <w:t>Unexercisable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Arial" w:cs="Arial" w:eastAsia="Arial" w:hAnsi="Arial"/>
                <w:sz w:val="13"/>
                <w:szCs w:val="13"/>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3"/>
                <w:szCs w:val="13"/>
                <w:color w:val="auto"/>
                <w:w w:val="95"/>
              </w:rPr>
              <w:t>Michael J.</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3,740</w:t>
            </w:r>
            <w:r>
              <w:rPr>
                <w:rFonts w:ascii="Arial" w:cs="Arial" w:eastAsia="Arial" w:hAnsi="Arial"/>
                <w:sz w:val="22"/>
                <w:szCs w:val="22"/>
                <w:color w:val="auto"/>
                <w:vertAlign w:val="superscript"/>
              </w:rPr>
              <w:t>(2)</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44,689</w:t>
            </w:r>
            <w:r>
              <w:rPr>
                <w:rFonts w:ascii="Arial" w:cs="Arial" w:eastAsia="Arial" w:hAnsi="Arial"/>
                <w:sz w:val="22"/>
                <w:szCs w:val="22"/>
                <w:color w:val="auto"/>
                <w:vertAlign w:val="superscript"/>
              </w:rPr>
              <w:t>(3)</w:t>
            </w: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Kasbar</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15,000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57.48</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3/31/2020</w:t>
            </w:r>
          </w:p>
        </w:tc>
        <w:tc>
          <w:tcPr>
            <w:tcW w:w="900" w:type="dxa"/>
            <w:vAlign w:val="bottom"/>
            <w:gridSpan w:val="2"/>
            <w:vMerge w:val="continue"/>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162,391</w:t>
            </w:r>
          </w:p>
        </w:tc>
        <w:tc>
          <w:tcPr>
            <w:tcW w:w="920" w:type="dxa"/>
            <w:vAlign w:val="bottom"/>
            <w:gridSpan w:val="2"/>
            <w:vMerge w:val="continue"/>
            <w:shd w:val="clear" w:color="auto" w:fill="CCEEFF"/>
          </w:tcPr>
          <w:p>
            <w:pPr>
              <w:spacing w:after="0"/>
              <w:rPr>
                <w:sz w:val="13"/>
                <w:szCs w:val="1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1,940,410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48.58</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3/31/2021</w:t>
            </w:r>
          </w:p>
        </w:tc>
        <w:tc>
          <w:tcPr>
            <w:tcW w:w="90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3"/>
                <w:szCs w:val="13"/>
                <w:color w:val="auto"/>
              </w:rPr>
              <w:t>59,396</w:t>
            </w:r>
            <w:r>
              <w:rPr>
                <w:rFonts w:ascii="Arial" w:cs="Arial" w:eastAsia="Arial" w:hAnsi="Arial"/>
                <w:sz w:val="22"/>
                <w:szCs w:val="22"/>
                <w:color w:val="auto"/>
                <w:vertAlign w:val="superscript"/>
              </w:rPr>
              <w:t>(4)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2,578,974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line="216" w:lineRule="exact"/>
              <w:rPr>
                <w:sz w:val="20"/>
                <w:szCs w:val="20"/>
                <w:color w:val="auto"/>
              </w:rPr>
            </w:pPr>
            <w:r>
              <w:rPr>
                <w:rFonts w:ascii="Arial" w:cs="Arial" w:eastAsia="Arial" w:hAnsi="Arial"/>
                <w:sz w:val="13"/>
                <w:szCs w:val="13"/>
                <w:color w:val="auto"/>
              </w:rPr>
              <w:t>113,507</w:t>
            </w:r>
            <w:r>
              <w:rPr>
                <w:rFonts w:ascii="Arial" w:cs="Arial" w:eastAsia="Arial" w:hAnsi="Arial"/>
                <w:sz w:val="22"/>
                <w:szCs w:val="22"/>
                <w:color w:val="auto"/>
                <w:vertAlign w:val="superscript"/>
              </w:rPr>
              <w:t>(5)</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36.25</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3/31/2022</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line="216" w:lineRule="exact"/>
              <w:rPr>
                <w:sz w:val="20"/>
                <w:szCs w:val="20"/>
                <w:color w:val="auto"/>
              </w:rPr>
            </w:pPr>
            <w:r>
              <w:rPr>
                <w:rFonts w:ascii="Arial" w:cs="Arial" w:eastAsia="Arial" w:hAnsi="Arial"/>
                <w:sz w:val="13"/>
                <w:szCs w:val="13"/>
                <w:color w:val="auto"/>
              </w:rPr>
              <w:t>152,439</w:t>
            </w:r>
            <w:r>
              <w:rPr>
                <w:rFonts w:ascii="Arial" w:cs="Arial" w:eastAsia="Arial" w:hAnsi="Arial"/>
                <w:sz w:val="22"/>
                <w:szCs w:val="22"/>
                <w:color w:val="auto"/>
                <w:vertAlign w:val="superscript"/>
              </w:rPr>
              <w:t>(6)</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23.93</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3/15/2023</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13"/>
                <w:szCs w:val="13"/>
                <w:color w:val="auto"/>
              </w:rPr>
              <w:t>109,290</w:t>
            </w:r>
            <w:r>
              <w:rPr>
                <w:rFonts w:ascii="Arial" w:cs="Arial" w:eastAsia="Arial" w:hAnsi="Arial"/>
                <w:sz w:val="22"/>
                <w:szCs w:val="22"/>
                <w:color w:val="auto"/>
                <w:vertAlign w:val="superscript"/>
              </w:rPr>
              <w:t>(7)</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29.68</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3/15/2024</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3"/>
                <w:szCs w:val="13"/>
                <w:color w:val="auto"/>
              </w:rPr>
              <w:t>373,137</w:t>
            </w:r>
            <w:r>
              <w:rPr>
                <w:rFonts w:ascii="Arial" w:cs="Arial" w:eastAsia="Arial" w:hAnsi="Arial"/>
                <w:sz w:val="22"/>
                <w:szCs w:val="22"/>
                <w:color w:val="auto"/>
                <w:vertAlign w:val="superscript"/>
              </w:rPr>
              <w:t>(8)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27.52</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3/15/2023</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3"/>
                <w:szCs w:val="13"/>
                <w:color w:val="auto"/>
              </w:rPr>
              <w:t>393,444</w:t>
            </w:r>
            <w:r>
              <w:rPr>
                <w:rFonts w:ascii="Arial" w:cs="Arial" w:eastAsia="Arial" w:hAnsi="Arial"/>
                <w:sz w:val="22"/>
                <w:szCs w:val="22"/>
                <w:color w:val="auto"/>
                <w:vertAlign w:val="superscript"/>
              </w:rPr>
              <w:t>(9)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29.68</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3/15/2024</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600" w:type="dxa"/>
            <w:vAlign w:val="bottom"/>
            <w:gridSpan w:val="2"/>
          </w:tcPr>
          <w:p>
            <w:pPr>
              <w:ind w:left="20"/>
              <w:spacing w:after="0"/>
              <w:rPr>
                <w:sz w:val="20"/>
                <w:szCs w:val="20"/>
                <w:color w:val="auto"/>
              </w:rPr>
            </w:pPr>
            <w:r>
              <w:rPr>
                <w:rFonts w:ascii="Arial" w:cs="Arial" w:eastAsia="Arial" w:hAnsi="Arial"/>
                <w:sz w:val="13"/>
                <w:szCs w:val="13"/>
                <w:color w:val="auto"/>
              </w:rPr>
              <w:t>Ira M.</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1,684</w:t>
            </w:r>
            <w:r>
              <w:rPr>
                <w:rFonts w:ascii="Arial" w:cs="Arial" w:eastAsia="Arial" w:hAnsi="Arial"/>
                <w:sz w:val="22"/>
                <w:szCs w:val="22"/>
                <w:color w:val="auto"/>
                <w:vertAlign w:val="superscript"/>
              </w:rPr>
              <w:t>(2)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16,759</w:t>
            </w:r>
            <w:r>
              <w:rPr>
                <w:rFonts w:ascii="Arial" w:cs="Arial" w:eastAsia="Arial" w:hAnsi="Arial"/>
                <w:sz w:val="22"/>
                <w:szCs w:val="22"/>
                <w:color w:val="auto"/>
                <w:vertAlign w:val="superscript"/>
              </w:rPr>
              <w:t>(3)</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0" w:type="dxa"/>
            <w:vAlign w:val="bottom"/>
            <w:gridSpan w:val="2"/>
          </w:tcPr>
          <w:p>
            <w:pPr>
              <w:ind w:left="160"/>
              <w:spacing w:after="0"/>
              <w:rPr>
                <w:sz w:val="20"/>
                <w:szCs w:val="20"/>
                <w:color w:val="auto"/>
              </w:rPr>
            </w:pPr>
            <w:r>
              <w:rPr>
                <w:rFonts w:ascii="Arial" w:cs="Arial" w:eastAsia="Arial" w:hAnsi="Arial"/>
                <w:sz w:val="13"/>
                <w:szCs w:val="13"/>
                <w:color w:val="auto"/>
              </w:rPr>
              <w:t>Birns</w:t>
            </w:r>
          </w:p>
        </w:tc>
        <w:tc>
          <w:tcPr>
            <w:tcW w:w="940" w:type="dxa"/>
            <w:vAlign w:val="bottom"/>
            <w:gridSpan w:val="3"/>
          </w:tcPr>
          <w:p>
            <w:pPr>
              <w:jc w:val="right"/>
              <w:ind w:right="20"/>
              <w:spacing w:after="0"/>
              <w:rPr>
                <w:sz w:val="20"/>
                <w:szCs w:val="20"/>
                <w:color w:val="auto"/>
              </w:rPr>
            </w:pPr>
            <w:r>
              <w:rPr>
                <w:rFonts w:ascii="Arial" w:cs="Arial" w:eastAsia="Arial" w:hAnsi="Arial"/>
                <w:sz w:val="13"/>
                <w:szCs w:val="13"/>
                <w:color w:val="auto"/>
              </w:rPr>
              <w:t>6,000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57.48</w:t>
            </w:r>
          </w:p>
        </w:tc>
        <w:tc>
          <w:tcPr>
            <w:tcW w:w="880" w:type="dxa"/>
            <w:vAlign w:val="bottom"/>
            <w:gridSpan w:val="2"/>
          </w:tcPr>
          <w:p>
            <w:pPr>
              <w:ind w:left="160"/>
              <w:spacing w:after="0"/>
              <w:rPr>
                <w:sz w:val="20"/>
                <w:szCs w:val="20"/>
                <w:color w:val="auto"/>
              </w:rPr>
            </w:pPr>
            <w:r>
              <w:rPr>
                <w:rFonts w:ascii="Arial" w:cs="Arial" w:eastAsia="Arial" w:hAnsi="Arial"/>
                <w:sz w:val="13"/>
                <w:szCs w:val="13"/>
                <w:color w:val="auto"/>
              </w:rPr>
              <w:t>3/31/2020</w:t>
            </w:r>
          </w:p>
        </w:tc>
        <w:tc>
          <w:tcPr>
            <w:tcW w:w="900" w:type="dxa"/>
            <w:vAlign w:val="bottom"/>
            <w:gridSpan w:val="2"/>
            <w:vMerge w:val="continue"/>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73,119</w:t>
            </w:r>
          </w:p>
        </w:tc>
        <w:tc>
          <w:tcPr>
            <w:tcW w:w="920" w:type="dxa"/>
            <w:vAlign w:val="bottom"/>
            <w:gridSpan w:val="2"/>
            <w:vMerge w:val="continue"/>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727,671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140"/>
              <w:spacing w:after="0" w:line="216" w:lineRule="exact"/>
              <w:rPr>
                <w:sz w:val="20"/>
                <w:szCs w:val="20"/>
                <w:color w:val="auto"/>
              </w:rPr>
            </w:pPr>
            <w:r>
              <w:rPr>
                <w:rFonts w:ascii="Arial" w:cs="Arial" w:eastAsia="Arial" w:hAnsi="Arial"/>
                <w:sz w:val="13"/>
                <w:szCs w:val="13"/>
                <w:color w:val="auto"/>
              </w:rPr>
              <w:t>186,568</w:t>
            </w:r>
            <w:r>
              <w:rPr>
                <w:rFonts w:ascii="Arial" w:cs="Arial" w:eastAsia="Arial" w:hAnsi="Arial"/>
                <w:sz w:val="22"/>
                <w:szCs w:val="22"/>
                <w:color w:val="auto"/>
                <w:vertAlign w:val="superscript"/>
              </w:rPr>
              <w:t>(8)</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27.52</w:t>
            </w:r>
          </w:p>
        </w:tc>
        <w:tc>
          <w:tcPr>
            <w:tcW w:w="880" w:type="dxa"/>
            <w:vAlign w:val="bottom"/>
            <w:gridSpan w:val="2"/>
          </w:tcPr>
          <w:p>
            <w:pPr>
              <w:ind w:left="160"/>
              <w:spacing w:after="0"/>
              <w:rPr>
                <w:sz w:val="20"/>
                <w:szCs w:val="20"/>
                <w:color w:val="auto"/>
              </w:rPr>
            </w:pPr>
            <w:r>
              <w:rPr>
                <w:rFonts w:ascii="Arial" w:cs="Arial" w:eastAsia="Arial" w:hAnsi="Arial"/>
                <w:sz w:val="13"/>
                <w:szCs w:val="13"/>
                <w:color w:val="auto"/>
              </w:rPr>
              <w:t>3/15/2023</w:t>
            </w:r>
          </w:p>
        </w:tc>
        <w:tc>
          <w:tcPr>
            <w:tcW w:w="900" w:type="dxa"/>
            <w:vAlign w:val="bottom"/>
            <w:gridSpan w:val="2"/>
          </w:tcPr>
          <w:p>
            <w:pPr>
              <w:jc w:val="right"/>
              <w:ind w:right="160"/>
              <w:spacing w:after="0" w:line="216" w:lineRule="exact"/>
              <w:rPr>
                <w:sz w:val="20"/>
                <w:szCs w:val="20"/>
                <w:color w:val="auto"/>
              </w:rPr>
            </w:pPr>
            <w:r>
              <w:rPr>
                <w:rFonts w:ascii="Arial" w:cs="Arial" w:eastAsia="Arial" w:hAnsi="Arial"/>
                <w:sz w:val="13"/>
                <w:szCs w:val="13"/>
                <w:color w:val="auto"/>
              </w:rPr>
              <w:t>23,420</w:t>
            </w:r>
            <w:r>
              <w:rPr>
                <w:rFonts w:ascii="Arial" w:cs="Arial" w:eastAsia="Arial" w:hAnsi="Arial"/>
                <w:sz w:val="22"/>
                <w:szCs w:val="22"/>
                <w:color w:val="auto"/>
                <w:vertAlign w:val="superscript"/>
              </w:rPr>
              <w:t>(4)</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1,016,896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2"/>
          </w:tcPr>
          <w:p>
            <w:pPr>
              <w:jc w:val="right"/>
              <w:ind w:right="140"/>
              <w:spacing w:after="0" w:line="191" w:lineRule="exact"/>
              <w:rPr>
                <w:sz w:val="20"/>
                <w:szCs w:val="20"/>
                <w:color w:val="auto"/>
              </w:rPr>
            </w:pPr>
            <w:r>
              <w:rPr>
                <w:rFonts w:ascii="Arial" w:cs="Arial" w:eastAsia="Arial" w:hAnsi="Arial"/>
                <w:sz w:val="13"/>
                <w:szCs w:val="13"/>
                <w:color w:val="auto"/>
              </w:rPr>
              <w:t>196,722</w:t>
            </w:r>
            <w:r>
              <w:rPr>
                <w:rFonts w:ascii="Arial" w:cs="Arial" w:eastAsia="Arial" w:hAnsi="Arial"/>
                <w:sz w:val="22"/>
                <w:szCs w:val="22"/>
                <w:color w:val="auto"/>
                <w:vertAlign w:val="superscript"/>
              </w:rPr>
              <w:t>(9)</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29.68</w:t>
            </w:r>
          </w:p>
        </w:tc>
        <w:tc>
          <w:tcPr>
            <w:tcW w:w="880" w:type="dxa"/>
            <w:vAlign w:val="bottom"/>
            <w:gridSpan w:val="2"/>
          </w:tcPr>
          <w:p>
            <w:pPr>
              <w:ind w:left="160"/>
              <w:spacing w:after="0"/>
              <w:rPr>
                <w:sz w:val="20"/>
                <w:szCs w:val="20"/>
                <w:color w:val="auto"/>
              </w:rPr>
            </w:pPr>
            <w:r>
              <w:rPr>
                <w:rFonts w:ascii="Arial" w:cs="Arial" w:eastAsia="Arial" w:hAnsi="Arial"/>
                <w:sz w:val="13"/>
                <w:szCs w:val="13"/>
                <w:color w:val="auto"/>
              </w:rPr>
              <w:t>3/15/2024</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Jeffrey</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186,568</w:t>
            </w:r>
            <w:r>
              <w:rPr>
                <w:rFonts w:ascii="Arial" w:cs="Arial" w:eastAsia="Arial" w:hAnsi="Arial"/>
                <w:sz w:val="22"/>
                <w:szCs w:val="22"/>
                <w:color w:val="auto"/>
                <w:vertAlign w:val="superscript"/>
              </w:rPr>
              <w:t>(8)</w:t>
            </w: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55,949</w:t>
            </w:r>
            <w:r>
              <w:rPr>
                <w:rFonts w:ascii="Arial" w:cs="Arial" w:eastAsia="Arial" w:hAnsi="Arial"/>
                <w:sz w:val="22"/>
                <w:szCs w:val="22"/>
                <w:color w:val="auto"/>
                <w:vertAlign w:val="superscript"/>
              </w:rPr>
              <w:t>(10)</w:t>
            </w: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111,898</w:t>
            </w:r>
            <w:r>
              <w:rPr>
                <w:rFonts w:ascii="Arial" w:cs="Arial" w:eastAsia="Arial" w:hAnsi="Arial"/>
                <w:sz w:val="22"/>
                <w:szCs w:val="22"/>
                <w:color w:val="auto"/>
                <w:vertAlign w:val="superscript"/>
              </w:rPr>
              <w:t>(11)</w:t>
            </w: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Smith</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27.52</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3/15/2023</w:t>
            </w:r>
          </w:p>
        </w:tc>
        <w:tc>
          <w:tcPr>
            <w:tcW w:w="900" w:type="dxa"/>
            <w:vAlign w:val="bottom"/>
            <w:gridSpan w:val="2"/>
            <w:vMerge w:val="continue"/>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2,429,306</w:t>
            </w:r>
          </w:p>
        </w:tc>
        <w:tc>
          <w:tcPr>
            <w:tcW w:w="920" w:type="dxa"/>
            <w:vAlign w:val="bottom"/>
            <w:gridSpan w:val="2"/>
            <w:vMerge w:val="continue"/>
            <w:shd w:val="clear" w:color="auto" w:fill="CCEEFF"/>
          </w:tcPr>
          <w:p>
            <w:pPr>
              <w:spacing w:after="0"/>
              <w:rPr>
                <w:sz w:val="13"/>
                <w:szCs w:val="1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4,858,611</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3"/>
                <w:szCs w:val="13"/>
                <w:color w:val="auto"/>
              </w:rPr>
              <w:t>196,722</w:t>
            </w:r>
            <w:r>
              <w:rPr>
                <w:rFonts w:ascii="Arial" w:cs="Arial" w:eastAsia="Arial" w:hAnsi="Arial"/>
                <w:sz w:val="22"/>
                <w:szCs w:val="22"/>
                <w:color w:val="auto"/>
                <w:vertAlign w:val="superscript"/>
              </w:rPr>
              <w:t>(9)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29.68</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3/15/2024</w:t>
            </w:r>
          </w:p>
        </w:tc>
        <w:tc>
          <w:tcPr>
            <w:tcW w:w="90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3"/>
                <w:szCs w:val="13"/>
                <w:color w:val="auto"/>
              </w:rPr>
              <w:t>23,420</w:t>
            </w:r>
            <w:r>
              <w:rPr>
                <w:rFonts w:ascii="Arial" w:cs="Arial" w:eastAsia="Arial" w:hAnsi="Arial"/>
                <w:sz w:val="22"/>
                <w:szCs w:val="22"/>
                <w:color w:val="auto"/>
                <w:vertAlign w:val="superscript"/>
              </w:rPr>
              <w:t>(4)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1,016,896</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600" w:type="dxa"/>
            <w:vAlign w:val="bottom"/>
            <w:gridSpan w:val="2"/>
          </w:tcPr>
          <w:p>
            <w:pPr>
              <w:ind w:left="20"/>
              <w:spacing w:after="0"/>
              <w:rPr>
                <w:sz w:val="20"/>
                <w:szCs w:val="20"/>
                <w:color w:val="auto"/>
              </w:rPr>
            </w:pPr>
            <w:r>
              <w:rPr>
                <w:rFonts w:ascii="Arial" w:cs="Arial" w:eastAsia="Arial" w:hAnsi="Arial"/>
                <w:sz w:val="13"/>
                <w:szCs w:val="13"/>
                <w:color w:val="auto"/>
                <w:w w:val="95"/>
              </w:rPr>
              <w:t>Michael J.</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111,941</w:t>
            </w:r>
            <w:r>
              <w:rPr>
                <w:rFonts w:ascii="Arial" w:cs="Arial" w:eastAsia="Arial" w:hAnsi="Arial"/>
                <w:sz w:val="22"/>
                <w:szCs w:val="22"/>
                <w:color w:val="auto"/>
                <w:vertAlign w:val="superscript"/>
              </w:rPr>
              <w:t>(8)</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6"/>
                <w:szCs w:val="26"/>
                <w:color w:val="auto"/>
                <w:vertAlign w:val="subscript"/>
              </w:rPr>
              <w:t>972</w:t>
            </w:r>
            <w:r>
              <w:rPr>
                <w:rFonts w:ascii="Arial" w:cs="Arial" w:eastAsia="Arial" w:hAnsi="Arial"/>
                <w:sz w:val="11"/>
                <w:szCs w:val="11"/>
                <w:color w:val="auto"/>
              </w:rPr>
              <w:t>(12)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11,172</w:t>
            </w:r>
            <w:r>
              <w:rPr>
                <w:rFonts w:ascii="Arial" w:cs="Arial" w:eastAsia="Arial" w:hAnsi="Arial"/>
                <w:sz w:val="22"/>
                <w:szCs w:val="22"/>
                <w:color w:val="auto"/>
                <w:vertAlign w:val="superscript"/>
              </w:rPr>
              <w:t>(3)</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0" w:type="dxa"/>
            <w:vAlign w:val="bottom"/>
            <w:gridSpan w:val="2"/>
          </w:tcPr>
          <w:p>
            <w:pPr>
              <w:ind w:left="160"/>
              <w:spacing w:after="0"/>
              <w:rPr>
                <w:sz w:val="20"/>
                <w:szCs w:val="20"/>
                <w:color w:val="auto"/>
              </w:rPr>
            </w:pPr>
            <w:r>
              <w:rPr>
                <w:rFonts w:ascii="Arial" w:cs="Arial" w:eastAsia="Arial" w:hAnsi="Arial"/>
                <w:sz w:val="13"/>
                <w:szCs w:val="13"/>
                <w:color w:val="auto"/>
              </w:rPr>
              <w:t>Crosby</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27.52</w:t>
            </w:r>
          </w:p>
        </w:tc>
        <w:tc>
          <w:tcPr>
            <w:tcW w:w="880" w:type="dxa"/>
            <w:vAlign w:val="bottom"/>
            <w:gridSpan w:val="2"/>
          </w:tcPr>
          <w:p>
            <w:pPr>
              <w:ind w:left="160"/>
              <w:spacing w:after="0"/>
              <w:rPr>
                <w:sz w:val="20"/>
                <w:szCs w:val="20"/>
                <w:color w:val="auto"/>
              </w:rPr>
            </w:pPr>
            <w:r>
              <w:rPr>
                <w:rFonts w:ascii="Arial" w:cs="Arial" w:eastAsia="Arial" w:hAnsi="Arial"/>
                <w:sz w:val="13"/>
                <w:szCs w:val="13"/>
                <w:color w:val="auto"/>
              </w:rPr>
              <w:t>3/15/2023</w:t>
            </w:r>
          </w:p>
        </w:tc>
        <w:tc>
          <w:tcPr>
            <w:tcW w:w="900" w:type="dxa"/>
            <w:vAlign w:val="bottom"/>
            <w:gridSpan w:val="2"/>
            <w:vMerge w:val="continue"/>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42,204</w:t>
            </w:r>
          </w:p>
        </w:tc>
        <w:tc>
          <w:tcPr>
            <w:tcW w:w="920" w:type="dxa"/>
            <w:vAlign w:val="bottom"/>
            <w:gridSpan w:val="2"/>
            <w:vMerge w:val="continue"/>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485,103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140"/>
              <w:spacing w:after="0" w:line="216" w:lineRule="exact"/>
              <w:rPr>
                <w:sz w:val="20"/>
                <w:szCs w:val="20"/>
                <w:color w:val="auto"/>
              </w:rPr>
            </w:pPr>
            <w:r>
              <w:rPr>
                <w:rFonts w:ascii="Arial" w:cs="Arial" w:eastAsia="Arial" w:hAnsi="Arial"/>
                <w:sz w:val="13"/>
                <w:szCs w:val="13"/>
                <w:color w:val="auto"/>
              </w:rPr>
              <w:t>118,033</w:t>
            </w:r>
            <w:r>
              <w:rPr>
                <w:rFonts w:ascii="Arial" w:cs="Arial" w:eastAsia="Arial" w:hAnsi="Arial"/>
                <w:sz w:val="22"/>
                <w:szCs w:val="22"/>
                <w:color w:val="auto"/>
                <w:vertAlign w:val="superscript"/>
              </w:rPr>
              <w:t>(9)</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29.68</w:t>
            </w:r>
          </w:p>
        </w:tc>
        <w:tc>
          <w:tcPr>
            <w:tcW w:w="880" w:type="dxa"/>
            <w:vAlign w:val="bottom"/>
            <w:gridSpan w:val="2"/>
          </w:tcPr>
          <w:p>
            <w:pPr>
              <w:ind w:left="160"/>
              <w:spacing w:after="0"/>
              <w:rPr>
                <w:sz w:val="20"/>
                <w:szCs w:val="20"/>
                <w:color w:val="auto"/>
              </w:rPr>
            </w:pPr>
            <w:r>
              <w:rPr>
                <w:rFonts w:ascii="Arial" w:cs="Arial" w:eastAsia="Arial" w:hAnsi="Arial"/>
                <w:sz w:val="13"/>
                <w:szCs w:val="13"/>
                <w:color w:val="auto"/>
              </w:rPr>
              <w:t>3/15/2024</w:t>
            </w:r>
          </w:p>
        </w:tc>
        <w:tc>
          <w:tcPr>
            <w:tcW w:w="900" w:type="dxa"/>
            <w:vAlign w:val="bottom"/>
            <w:gridSpan w:val="2"/>
          </w:tcPr>
          <w:p>
            <w:pPr>
              <w:jc w:val="right"/>
              <w:ind w:right="160"/>
              <w:spacing w:after="0" w:line="216" w:lineRule="exact"/>
              <w:rPr>
                <w:sz w:val="20"/>
                <w:szCs w:val="20"/>
                <w:color w:val="auto"/>
              </w:rPr>
            </w:pPr>
            <w:r>
              <w:rPr>
                <w:rFonts w:ascii="Arial" w:cs="Arial" w:eastAsia="Arial" w:hAnsi="Arial"/>
                <w:sz w:val="13"/>
                <w:szCs w:val="13"/>
                <w:color w:val="auto"/>
              </w:rPr>
              <w:t>13,724</w:t>
            </w:r>
            <w:r>
              <w:rPr>
                <w:rFonts w:ascii="Arial" w:cs="Arial" w:eastAsia="Arial" w:hAnsi="Arial"/>
                <w:sz w:val="22"/>
                <w:szCs w:val="22"/>
                <w:color w:val="auto"/>
                <w:vertAlign w:val="superscript"/>
              </w:rPr>
              <w:t>(13)</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595,896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line="216" w:lineRule="exact"/>
              <w:rPr>
                <w:sz w:val="20"/>
                <w:szCs w:val="20"/>
                <w:color w:val="auto"/>
              </w:rPr>
            </w:pPr>
            <w:r>
              <w:rPr>
                <w:rFonts w:ascii="Arial" w:cs="Arial" w:eastAsia="Arial" w:hAnsi="Arial"/>
                <w:sz w:val="13"/>
                <w:szCs w:val="13"/>
                <w:color w:val="auto"/>
              </w:rPr>
              <w:t>4,598</w:t>
            </w:r>
            <w:r>
              <w:rPr>
                <w:rFonts w:ascii="Arial" w:cs="Arial" w:eastAsia="Arial" w:hAnsi="Arial"/>
                <w:sz w:val="22"/>
                <w:szCs w:val="22"/>
                <w:color w:val="auto"/>
                <w:vertAlign w:val="superscript"/>
              </w:rPr>
              <w:t>(12)</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199,645</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line="216" w:lineRule="exact"/>
              <w:rPr>
                <w:sz w:val="20"/>
                <w:szCs w:val="20"/>
                <w:color w:val="auto"/>
              </w:rPr>
            </w:pPr>
            <w:r>
              <w:rPr>
                <w:rFonts w:ascii="Arial" w:cs="Arial" w:eastAsia="Arial" w:hAnsi="Arial"/>
                <w:sz w:val="13"/>
                <w:szCs w:val="13"/>
                <w:color w:val="auto"/>
              </w:rPr>
              <w:t>3,740</w:t>
            </w:r>
            <w:r>
              <w:rPr>
                <w:rFonts w:ascii="Arial" w:cs="Arial" w:eastAsia="Arial" w:hAnsi="Arial"/>
                <w:sz w:val="22"/>
                <w:szCs w:val="22"/>
                <w:color w:val="auto"/>
                <w:vertAlign w:val="superscript"/>
              </w:rPr>
              <w:t>(2)</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162,391</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line="191" w:lineRule="exact"/>
              <w:rPr>
                <w:sz w:val="20"/>
                <w:szCs w:val="20"/>
                <w:color w:val="auto"/>
              </w:rPr>
            </w:pPr>
            <w:r>
              <w:rPr>
                <w:rFonts w:ascii="Arial" w:cs="Arial" w:eastAsia="Arial" w:hAnsi="Arial"/>
                <w:sz w:val="13"/>
                <w:szCs w:val="13"/>
                <w:color w:val="auto"/>
              </w:rPr>
              <w:t>15,902</w:t>
            </w:r>
            <w:r>
              <w:rPr>
                <w:rFonts w:ascii="Arial" w:cs="Arial" w:eastAsia="Arial" w:hAnsi="Arial"/>
                <w:sz w:val="22"/>
                <w:szCs w:val="22"/>
                <w:color w:val="auto"/>
                <w:vertAlign w:val="superscript"/>
              </w:rPr>
              <w:t>(4)</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690,465</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John P.</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111,941</w:t>
            </w:r>
            <w:r>
              <w:rPr>
                <w:rFonts w:ascii="Arial" w:cs="Arial" w:eastAsia="Arial" w:hAnsi="Arial"/>
                <w:sz w:val="22"/>
                <w:szCs w:val="22"/>
                <w:color w:val="auto"/>
                <w:vertAlign w:val="superscript"/>
              </w:rPr>
              <w:t>(8)</w:t>
            </w: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3,239</w:t>
            </w:r>
            <w:r>
              <w:rPr>
                <w:rFonts w:ascii="Arial" w:cs="Arial" w:eastAsia="Arial" w:hAnsi="Arial"/>
                <w:sz w:val="22"/>
                <w:szCs w:val="22"/>
                <w:color w:val="auto"/>
                <w:vertAlign w:val="superscript"/>
              </w:rPr>
              <w:t>(12)</w:t>
            </w: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11,172</w:t>
            </w:r>
            <w:r>
              <w:rPr>
                <w:rFonts w:ascii="Arial" w:cs="Arial" w:eastAsia="Arial" w:hAnsi="Arial"/>
                <w:sz w:val="22"/>
                <w:szCs w:val="22"/>
                <w:color w:val="auto"/>
                <w:vertAlign w:val="superscript"/>
              </w:rPr>
              <w:t>(3)</w:t>
            </w: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Rau</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27.52</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3/15/2023</w:t>
            </w:r>
          </w:p>
        </w:tc>
        <w:tc>
          <w:tcPr>
            <w:tcW w:w="900" w:type="dxa"/>
            <w:vAlign w:val="bottom"/>
            <w:gridSpan w:val="2"/>
            <w:vMerge w:val="continue"/>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140,637</w:t>
            </w:r>
          </w:p>
        </w:tc>
        <w:tc>
          <w:tcPr>
            <w:tcW w:w="920" w:type="dxa"/>
            <w:vAlign w:val="bottom"/>
            <w:gridSpan w:val="2"/>
            <w:vMerge w:val="continue"/>
            <w:shd w:val="clear" w:color="auto" w:fill="CCEEFF"/>
          </w:tcPr>
          <w:p>
            <w:pPr>
              <w:spacing w:after="0"/>
              <w:rPr>
                <w:sz w:val="13"/>
                <w:szCs w:val="1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485,103</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3"/>
                <w:szCs w:val="13"/>
                <w:color w:val="auto"/>
              </w:rPr>
              <w:t>118,033</w:t>
            </w:r>
            <w:r>
              <w:rPr>
                <w:rFonts w:ascii="Arial" w:cs="Arial" w:eastAsia="Arial" w:hAnsi="Arial"/>
                <w:sz w:val="22"/>
                <w:szCs w:val="22"/>
                <w:color w:val="auto"/>
                <w:vertAlign w:val="superscript"/>
              </w:rPr>
              <w:t>(9)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29.68</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3/15/2024</w:t>
            </w:r>
          </w:p>
        </w:tc>
        <w:tc>
          <w:tcPr>
            <w:tcW w:w="90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3"/>
                <w:szCs w:val="13"/>
                <w:color w:val="auto"/>
              </w:rPr>
              <w:t>13,724</w:t>
            </w:r>
            <w:r>
              <w:rPr>
                <w:rFonts w:ascii="Arial" w:cs="Arial" w:eastAsia="Arial" w:hAnsi="Arial"/>
                <w:sz w:val="22"/>
                <w:szCs w:val="22"/>
                <w:color w:val="auto"/>
                <w:vertAlign w:val="superscript"/>
              </w:rPr>
              <w:t>(13)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595,896</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3"/>
                <w:szCs w:val="13"/>
                <w:color w:val="auto"/>
              </w:rPr>
              <w:t>4,598</w:t>
            </w:r>
            <w:r>
              <w:rPr>
                <w:rFonts w:ascii="Arial" w:cs="Arial" w:eastAsia="Arial" w:hAnsi="Arial"/>
                <w:sz w:val="22"/>
                <w:szCs w:val="22"/>
                <w:color w:val="auto"/>
                <w:vertAlign w:val="superscript"/>
              </w:rPr>
              <w:t>(12)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199,645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3"/>
                <w:szCs w:val="13"/>
                <w:color w:val="auto"/>
              </w:rPr>
              <w:t>3,740</w:t>
            </w:r>
            <w:r>
              <w:rPr>
                <w:rFonts w:ascii="Arial" w:cs="Arial" w:eastAsia="Arial" w:hAnsi="Arial"/>
                <w:sz w:val="22"/>
                <w:szCs w:val="22"/>
                <w:color w:val="auto"/>
                <w:vertAlign w:val="superscript"/>
              </w:rPr>
              <w:t>(2)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162,391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3"/>
                <w:szCs w:val="13"/>
                <w:color w:val="auto"/>
              </w:rPr>
              <w:t>15,902</w:t>
            </w:r>
            <w:r>
              <w:rPr>
                <w:rFonts w:ascii="Arial" w:cs="Arial" w:eastAsia="Arial" w:hAnsi="Arial"/>
                <w:sz w:val="22"/>
                <w:szCs w:val="22"/>
                <w:color w:val="auto"/>
                <w:vertAlign w:val="superscript"/>
              </w:rPr>
              <w:t>(4)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690,465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 this column are based on the closing price of our common stock on December 31, 2019 of $43.42.</w:t>
      </w:r>
    </w:p>
    <w:p>
      <w:pPr>
        <w:spacing w:after="0" w:line="252" w:lineRule="exact"/>
        <w:rPr>
          <w:rFonts w:ascii="Arial" w:cs="Arial" w:eastAsia="Arial" w:hAnsi="Arial"/>
          <w:sz w:val="18"/>
          <w:szCs w:val="18"/>
          <w:color w:val="auto"/>
        </w:rPr>
      </w:pPr>
    </w:p>
    <w:p>
      <w:pPr>
        <w:ind w:left="1680" w:right="200" w:hanging="549"/>
        <w:spacing w:after="0" w:line="259"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amount reflects the remaining two tranches of RSUs that were earned in connection with the 2018 annual incentive program and vest one-half annually beginning in March 2020, subject to earlier vesting upon a change of control or qualifying termination of employment.</w:t>
      </w:r>
    </w:p>
    <w:p>
      <w:pPr>
        <w:spacing w:after="0" w:line="207" w:lineRule="exact"/>
        <w:rPr>
          <w:rFonts w:ascii="Arial" w:cs="Arial" w:eastAsia="Arial" w:hAnsi="Arial"/>
          <w:sz w:val="18"/>
          <w:szCs w:val="18"/>
          <w:color w:val="auto"/>
        </w:rPr>
      </w:pPr>
    </w:p>
    <w:p>
      <w:pPr>
        <w:ind w:left="1680" w:right="60" w:hanging="549"/>
        <w:spacing w:after="0" w:line="259"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amount reflects the actual amount of RSUs earned by the NEO in March 2020 under the 2017 PSP based on EPS Growth for 2019 of $2.79, resulting in a payout of 81% of the target level of the 2017 PSP. See "Grants of Plan Based Awards Table" for more information on the 2017 PSP and the discussion beginning on page 56 of this proxy statement.</w:t>
      </w:r>
    </w:p>
    <w:p>
      <w:pPr>
        <w:spacing w:after="0" w:line="207" w:lineRule="exact"/>
        <w:rPr>
          <w:rFonts w:ascii="Arial" w:cs="Arial" w:eastAsia="Arial" w:hAnsi="Arial"/>
          <w:sz w:val="18"/>
          <w:szCs w:val="18"/>
          <w:color w:val="auto"/>
        </w:rPr>
      </w:pPr>
    </w:p>
    <w:p>
      <w:pPr>
        <w:ind w:left="1680" w:right="420" w:hanging="549"/>
        <w:spacing w:after="0" w:line="331" w:lineRule="auto"/>
        <w:tabs>
          <w:tab w:leader="none" w:pos="1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amount reflects the RSUs that were earned in connection with the 2019 annual incentive program and vest one-third annually beginning in March 2020, subject to earlier vesting upon a change of control or qualifying termination of employment.</w:t>
      </w:r>
    </w:p>
    <w:p>
      <w:pPr>
        <w:spacing w:after="0" w:line="167" w:lineRule="exact"/>
        <w:rPr>
          <w:rFonts w:ascii="Arial" w:cs="Arial" w:eastAsia="Arial" w:hAnsi="Arial"/>
          <w:sz w:val="16"/>
          <w:szCs w:val="16"/>
          <w:color w:val="auto"/>
        </w:rPr>
      </w:pPr>
    </w:p>
    <w:p>
      <w:pPr>
        <w:ind w:left="1680" w:right="260" w:hanging="549"/>
        <w:spacing w:after="0" w:line="268"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amount reflects SSARs that vest in March 2020, subject to earlier vesting upon a change of control or qualifying termination of employment.</w:t>
      </w:r>
    </w:p>
    <w:p>
      <w:pPr>
        <w:spacing w:after="0" w:line="180"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260" w:hanging="549"/>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amount reflects SSARs that vest in March 2021, subject to earlier vesting upon a change of control or qualifying termination of employment.</w:t>
      </w:r>
    </w:p>
    <w:p>
      <w:pPr>
        <w:spacing w:after="0" w:line="212" w:lineRule="exact"/>
        <w:rPr>
          <w:rFonts w:ascii="Arial" w:cs="Arial" w:eastAsia="Arial" w:hAnsi="Arial"/>
          <w:sz w:val="18"/>
          <w:szCs w:val="18"/>
          <w:color w:val="auto"/>
        </w:rPr>
      </w:pPr>
    </w:p>
    <w:p>
      <w:pPr>
        <w:ind w:left="1680" w:right="260" w:hanging="549"/>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amount reflects SSARs that vest in March 2022, subject to earlier vesting upon a change of control or qualifying termination of employment.</w:t>
      </w:r>
    </w:p>
    <w:p>
      <w:pPr>
        <w:spacing w:after="0" w:line="199" w:lineRule="exact"/>
        <w:rPr>
          <w:rFonts w:ascii="Arial" w:cs="Arial" w:eastAsia="Arial" w:hAnsi="Arial"/>
          <w:sz w:val="18"/>
          <w:szCs w:val="18"/>
          <w:color w:val="auto"/>
        </w:rPr>
      </w:pPr>
    </w:p>
    <w:p>
      <w:pPr>
        <w:ind w:left="1680" w:right="140" w:hanging="549"/>
        <w:spacing w:after="0" w:line="298" w:lineRule="auto"/>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amount reflects the maximum amount of Performance SSARs that would be earned by the NEO in 2021 under the PSP assuming an EPS Growth equal to the EPS Growth for the fiscal year ended December 31, 2019. Any earned portion will vest on the date after December 31, 2020 on which the Committee certifies in writing, based upon our audited financial statements, the extent to which the requisite EPS Growth level has been achieved for the performance period but in no event later than March 15, 2021.</w:t>
      </w:r>
    </w:p>
    <w:p>
      <w:pPr>
        <w:spacing w:after="0" w:line="179" w:lineRule="exact"/>
        <w:rPr>
          <w:rFonts w:ascii="Arial" w:cs="Arial" w:eastAsia="Arial" w:hAnsi="Arial"/>
          <w:sz w:val="16"/>
          <w:szCs w:val="16"/>
          <w:color w:val="auto"/>
        </w:rPr>
      </w:pPr>
    </w:p>
    <w:p>
      <w:pPr>
        <w:ind w:left="1680" w:right="200" w:hanging="549"/>
        <w:spacing w:after="0" w:line="294" w:lineRule="auto"/>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amount reflects the amount of Performance SSARs that would be earned by the NEO in 2022 between the target and maximum levels under the PSP assuming an EPS Growth and ROIC equal to the EPS Growth and ROIC for the fiscal year ended December 31, 2019. Any earned portion will vest on the date after December 31, 2021 on which the Committee certifies in writing, based upon our audited financial statements, the extent to which the requisite EPS Growth and ROIC levels have been achieved for the performance period but in no event later than March 15, 2022.</w:t>
      </w:r>
    </w:p>
    <w:p>
      <w:pPr>
        <w:spacing w:after="0" w:line="196" w:lineRule="exact"/>
        <w:rPr>
          <w:rFonts w:ascii="Arial" w:cs="Arial" w:eastAsia="Arial" w:hAnsi="Arial"/>
          <w:sz w:val="16"/>
          <w:szCs w:val="16"/>
          <w:color w:val="auto"/>
        </w:rPr>
      </w:pPr>
    </w:p>
    <w:p>
      <w:pPr>
        <w:ind w:left="1680" w:right="280" w:hanging="549"/>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amount reflects RSUs that vest one third annually beginning March 2020, subject to earlier vesting upon a change of control or qualifying termination of employment.</w:t>
      </w:r>
    </w:p>
    <w:p>
      <w:pPr>
        <w:spacing w:after="0" w:line="199" w:lineRule="exact"/>
        <w:rPr>
          <w:rFonts w:ascii="Arial" w:cs="Arial" w:eastAsia="Arial" w:hAnsi="Arial"/>
          <w:sz w:val="18"/>
          <w:szCs w:val="18"/>
          <w:color w:val="auto"/>
        </w:rPr>
      </w:pPr>
    </w:p>
    <w:p>
      <w:pPr>
        <w:ind w:left="1680" w:right="60" w:hanging="549"/>
        <w:spacing w:after="0" w:line="298" w:lineRule="auto"/>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amount reflects the maximum amount of RSUs that would be earned by Mr. Smith in 2021 under his performance-based equity grant assuming the maximum level of performance established by the Committee for the 2018 PSP. Any earned portion will vest on the date after December 31, 2020 on which the Committee certifies in writing, based upon our audited financial statements, the extent to which the requisite performance goal has been achieved for the performance period but in no event later than March 15, 2021.</w:t>
      </w:r>
    </w:p>
    <w:p>
      <w:pPr>
        <w:spacing w:after="0" w:line="179" w:lineRule="exact"/>
        <w:rPr>
          <w:rFonts w:ascii="Arial" w:cs="Arial" w:eastAsia="Arial" w:hAnsi="Arial"/>
          <w:sz w:val="16"/>
          <w:szCs w:val="16"/>
          <w:color w:val="auto"/>
        </w:rPr>
      </w:pPr>
    </w:p>
    <w:p>
      <w:pPr>
        <w:ind w:left="1680" w:right="340" w:hanging="549"/>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amount reflects shares of restricted stock or RSUs that vest in May 2020, subject to earlier vesting upon a change of control or qualifying termination of employment.</w:t>
      </w:r>
    </w:p>
    <w:p>
      <w:pPr>
        <w:spacing w:after="0" w:line="212" w:lineRule="exact"/>
        <w:rPr>
          <w:rFonts w:ascii="Arial" w:cs="Arial" w:eastAsia="Arial" w:hAnsi="Arial"/>
          <w:sz w:val="18"/>
          <w:szCs w:val="18"/>
          <w:color w:val="auto"/>
        </w:rPr>
      </w:pPr>
    </w:p>
    <w:p>
      <w:pPr>
        <w:ind w:left="1680" w:right="580" w:hanging="549"/>
        <w:spacing w:after="0" w:line="331" w:lineRule="auto"/>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amount reflects shares of restricted stock and RSUs that vest in one-half annually beginning in May 2020 and March 2020, respectively, subject to earlier vesting upon a change of control or qualifying termination of employment.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2019 Stock Vested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the stock vested during the year ended December 31, 2019 for our named executive officers.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40" w:type="dxa"/>
            <w:vAlign w:val="bottom"/>
            <w:gridSpan w:val="4"/>
          </w:tcPr>
          <w:p>
            <w:pPr>
              <w:ind w:left="54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Acquired on</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Realized on</w:t>
            </w:r>
          </w:p>
        </w:tc>
        <w:tc>
          <w:tcPr>
            <w:tcW w:w="0" w:type="dxa"/>
            <w:vAlign w:val="bottom"/>
          </w:tcPr>
          <w:p>
            <w:pPr>
              <w:spacing w:after="0"/>
              <w:rPr>
                <w:sz w:val="1"/>
                <w:szCs w:val="1"/>
                <w:color w:val="auto"/>
              </w:rPr>
            </w:pPr>
          </w:p>
        </w:tc>
      </w:tr>
      <w:tr>
        <w:trPr>
          <w:trHeight w:val="193"/>
        </w:trPr>
        <w:tc>
          <w:tcPr>
            <w:tcW w:w="7520" w:type="dxa"/>
            <w:vAlign w:val="bottom"/>
            <w:gridSpan w:val="4"/>
          </w:tcPr>
          <w:p>
            <w:pPr>
              <w:ind w:left="1700"/>
              <w:spacing w:after="0"/>
              <w:rPr>
                <w:sz w:val="20"/>
                <w:szCs w:val="20"/>
                <w:color w:val="auto"/>
              </w:rPr>
            </w:pPr>
            <w:r>
              <w:rPr>
                <w:rFonts w:ascii="Arial" w:cs="Arial" w:eastAsia="Arial" w:hAnsi="Arial"/>
                <w:sz w:val="13"/>
                <w:szCs w:val="13"/>
                <w:b w:val="1"/>
                <w:bCs w:val="1"/>
                <w:color w:val="auto"/>
              </w:rPr>
              <w:t>Name</w:t>
            </w:r>
          </w:p>
        </w:tc>
        <w:tc>
          <w:tcPr>
            <w:tcW w:w="880" w:type="dxa"/>
            <w:vAlign w:val="bottom"/>
          </w:tcPr>
          <w:p>
            <w:pPr>
              <w:jc w:val="center"/>
              <w:spacing w:after="0" w:line="193" w:lineRule="exact"/>
              <w:rPr>
                <w:sz w:val="20"/>
                <w:szCs w:val="20"/>
                <w:color w:val="auto"/>
              </w:rPr>
            </w:pPr>
            <w:r>
              <w:rPr>
                <w:rFonts w:ascii="Arial" w:cs="Arial" w:eastAsia="Arial" w:hAnsi="Arial"/>
                <w:sz w:val="13"/>
                <w:szCs w:val="13"/>
                <w:b w:val="1"/>
                <w:bCs w:val="1"/>
                <w:color w:val="auto"/>
                <w:w w:val="83"/>
              </w:rPr>
              <w:t>Vesting</w:t>
            </w:r>
            <w:r>
              <w:rPr>
                <w:rFonts w:ascii="Arial" w:cs="Arial" w:eastAsia="Arial" w:hAnsi="Arial"/>
                <w:sz w:val="22"/>
                <w:szCs w:val="22"/>
                <w:b w:val="1"/>
                <w:bCs w:val="1"/>
                <w:color w:val="auto"/>
                <w:w w:val="83"/>
                <w:vertAlign w:val="superscript"/>
              </w:rPr>
              <w:t>(1)</w:t>
            </w:r>
          </w:p>
        </w:tc>
        <w:tc>
          <w:tcPr>
            <w:tcW w:w="160" w:type="dxa"/>
            <w:vAlign w:val="bottom"/>
          </w:tcPr>
          <w:p>
            <w:pPr>
              <w:spacing w:after="0"/>
              <w:rPr>
                <w:sz w:val="16"/>
                <w:szCs w:val="16"/>
                <w:color w:val="auto"/>
              </w:rPr>
            </w:pPr>
          </w:p>
        </w:tc>
        <w:tc>
          <w:tcPr>
            <w:tcW w:w="1000" w:type="dxa"/>
            <w:vAlign w:val="bottom"/>
            <w:gridSpan w:val="2"/>
          </w:tcPr>
          <w:p>
            <w:pPr>
              <w:jc w:val="center"/>
              <w:ind w:right="180"/>
              <w:spacing w:after="0" w:line="193" w:lineRule="exact"/>
              <w:rPr>
                <w:sz w:val="20"/>
                <w:szCs w:val="20"/>
                <w:color w:val="auto"/>
              </w:rPr>
            </w:pPr>
            <w:r>
              <w:rPr>
                <w:rFonts w:ascii="Arial" w:cs="Arial" w:eastAsia="Arial" w:hAnsi="Arial"/>
                <w:sz w:val="13"/>
                <w:szCs w:val="13"/>
                <w:b w:val="1"/>
                <w:bCs w:val="1"/>
                <w:color w:val="auto"/>
                <w:w w:val="83"/>
              </w:rPr>
              <w:t>Vesting</w:t>
            </w:r>
            <w:r>
              <w:rPr>
                <w:rFonts w:ascii="Arial" w:cs="Arial" w:eastAsia="Arial" w:hAnsi="Arial"/>
                <w:sz w:val="22"/>
                <w:szCs w:val="22"/>
                <w:b w:val="1"/>
                <w:bCs w:val="1"/>
                <w:color w:val="auto"/>
                <w:w w:val="83"/>
                <w:vertAlign w:val="superscript"/>
              </w:rPr>
              <w:t>(2)</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725,350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Ira M. Birns</w:t>
            </w:r>
          </w:p>
        </w:tc>
        <w:tc>
          <w:tcPr>
            <w:tcW w:w="880" w:type="dxa"/>
            <w:vAlign w:val="bottom"/>
          </w:tcPr>
          <w:p>
            <w:pPr>
              <w:jc w:val="right"/>
              <w:spacing w:after="0"/>
              <w:rPr>
                <w:sz w:val="20"/>
                <w:szCs w:val="20"/>
                <w:color w:val="auto"/>
              </w:rPr>
            </w:pPr>
            <w:r>
              <w:rPr>
                <w:rFonts w:ascii="Arial" w:cs="Arial" w:eastAsia="Arial" w:hAnsi="Arial"/>
                <w:sz w:val="18"/>
                <w:szCs w:val="18"/>
                <w:color w:val="auto"/>
              </w:rPr>
              <w:t>9,869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292,912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Crosby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415,255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John P. Rau</w:t>
            </w:r>
          </w:p>
        </w:tc>
        <w:tc>
          <w:tcPr>
            <w:tcW w:w="880" w:type="dxa"/>
            <w:vAlign w:val="bottom"/>
          </w:tcPr>
          <w:p>
            <w:pPr>
              <w:jc w:val="right"/>
              <w:spacing w:after="0"/>
              <w:rPr>
                <w:sz w:val="20"/>
                <w:szCs w:val="20"/>
                <w:color w:val="auto"/>
              </w:rPr>
            </w:pPr>
            <w:r>
              <w:rPr>
                <w:rFonts w:ascii="Arial" w:cs="Arial" w:eastAsia="Arial" w:hAnsi="Arial"/>
                <w:sz w:val="18"/>
                <w:szCs w:val="18"/>
                <w:color w:val="auto"/>
              </w:rPr>
              <w:t>18,372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535,623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120" w:hanging="532"/>
        <w:spacing w:after="0" w:line="306"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shown in this column reflect the number of shares of restricted stock or RSUs that vested for each NEO. Upon vesting, we withheld a sufficient number of shares to cover the NEOs tax liability associated with the vesting. Thereafter, each of the NEOs received the following number of net shares of common stock: Mr. Kasbar—14,822, Mr. Birns—6,257, Mr. Crosby—8,764, and Mr. Rau—11,140.</w:t>
      </w:r>
    </w:p>
    <w:p>
      <w:pPr>
        <w:spacing w:after="0" w:line="173" w:lineRule="exact"/>
        <w:rPr>
          <w:rFonts w:ascii="Arial" w:cs="Arial" w:eastAsia="Arial" w:hAnsi="Arial"/>
          <w:sz w:val="16"/>
          <w:szCs w:val="16"/>
          <w:color w:val="auto"/>
        </w:rPr>
      </w:pPr>
    </w:p>
    <w:p>
      <w:pPr>
        <w:jc w:val="both"/>
        <w:ind w:left="540" w:right="20" w:hanging="532"/>
        <w:spacing w:after="0" w:line="284"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 shown in this column reflects the value realized upon vesting which is calculated by multiplying (a) the closing price of our common stock on the vesting date by (b) the number of shares of restricted stock or RSUs that vested. The value realized does not represent cash received by the NEO, such amount will depend on the price at which the acquired shares are ultimately disposed of by the NEO.</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Non-Qualified Deferred Compensation</w:t>
      </w:r>
    </w:p>
    <w:p>
      <w:pPr>
        <w:spacing w:after="0" w:line="231" w:lineRule="exact"/>
        <w:rPr>
          <w:sz w:val="20"/>
          <w:szCs w:val="20"/>
          <w:color w:val="auto"/>
        </w:rPr>
      </w:pPr>
    </w:p>
    <w:p>
      <w:pPr>
        <w:ind w:right="360" w:firstLine="611"/>
        <w:spacing w:after="0" w:line="268" w:lineRule="auto"/>
        <w:rPr>
          <w:sz w:val="20"/>
          <w:szCs w:val="20"/>
          <w:color w:val="auto"/>
        </w:rPr>
      </w:pPr>
      <w:r>
        <w:rPr>
          <w:rFonts w:ascii="Arial" w:cs="Arial" w:eastAsia="Arial" w:hAnsi="Arial"/>
          <w:sz w:val="18"/>
          <w:szCs w:val="18"/>
          <w:color w:val="auto"/>
        </w:rPr>
        <w:t>The following table sets forth non-qualified deferred compensation during the year ended December 31, 2019 for the named executive officers set forth below.</w:t>
      </w:r>
    </w:p>
    <w:p>
      <w:pPr>
        <w:spacing w:after="0" w:line="186" w:lineRule="exact"/>
        <w:rPr>
          <w:sz w:val="20"/>
          <w:szCs w:val="20"/>
          <w:color w:val="auto"/>
        </w:rPr>
      </w:pPr>
    </w:p>
    <w:p>
      <w:pPr>
        <w:ind w:right="160" w:firstLine="611"/>
        <w:spacing w:after="0" w:line="290" w:lineRule="auto"/>
        <w:rPr>
          <w:sz w:val="20"/>
          <w:szCs w:val="20"/>
          <w:color w:val="auto"/>
        </w:rPr>
      </w:pPr>
      <w:r>
        <w:rPr>
          <w:rFonts w:ascii="Arial" w:cs="Arial" w:eastAsia="Arial" w:hAnsi="Arial"/>
          <w:sz w:val="16"/>
          <w:szCs w:val="16"/>
          <w:color w:val="auto"/>
        </w:rPr>
        <w:t>We offer our executives and other senior employees based in the U.S. an opportunity to defer compensation under our non-qualified deferred compensation plan, or NQDC. Pursuant to the NQDC, participants may defer up to 75% of their base salary and up to 90% of any annual bonus, on a pre-tax basis, and an additional amount equal to any "excess contributions" that are refunded to them from the 401(k) Plan. We do not match any participant deferrals under the NQDC. Participants can elect from a variety of investment choices for their deferred compensation and gains and losses on these investments are credited to their respective accounts. Participants may elect, depending on whether their termination is in connection with retirement or otherwise, to receive deferred amounts in a lump sum, in annual installments over a period of up to ten years, or in a partial lump sum with the balance paid in installments. However, these payments are accelerated upon a change in control or the death of the participant.</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Executive</w:t>
            </w: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0"/>
              </w:rPr>
              <w:t>Aggregate</w:t>
            </w: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0"/>
              </w:rPr>
              <w:t>Aggregate</w:t>
            </w:r>
          </w:p>
        </w:tc>
      </w:tr>
      <w:tr>
        <w:trPr>
          <w:trHeight w:val="148"/>
        </w:trPr>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3"/>
              </w:rPr>
              <w:t>Contributions in</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5"/>
              </w:rPr>
              <w:t>Earnings in</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Balance at Last</w:t>
            </w:r>
          </w:p>
        </w:tc>
      </w:tr>
      <w:tr>
        <w:trPr>
          <w:trHeight w:val="161"/>
        </w:trPr>
        <w:tc>
          <w:tcPr>
            <w:tcW w:w="560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4"/>
              </w:rPr>
              <w:t>Last Fiscal Year</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Last Fiscal Year</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Fiscal Year-End</w:t>
            </w:r>
          </w:p>
        </w:tc>
      </w:tr>
      <w:tr>
        <w:trPr>
          <w:trHeight w:val="20"/>
        </w:trPr>
        <w:tc>
          <w:tcPr>
            <w:tcW w:w="3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50"/>
        </w:trPr>
        <w:tc>
          <w:tcPr>
            <w:tcW w:w="560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Michael J. Kasbar</w:t>
            </w:r>
            <w:r>
              <w:rPr>
                <w:rFonts w:ascii="Arial" w:cs="Arial" w:eastAsia="Arial" w:hAnsi="Arial"/>
                <w:sz w:val="28"/>
                <w:szCs w:val="28"/>
                <w:color w:val="auto"/>
                <w:vertAlign w:val="superscript"/>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$12,680</w:t>
            </w:r>
          </w:p>
        </w:tc>
        <w:tc>
          <w:tcPr>
            <w:tcW w:w="11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$241,951</w:t>
            </w:r>
          </w:p>
        </w:tc>
      </w:tr>
      <w:tr>
        <w:trPr>
          <w:trHeight w:val="365"/>
        </w:trPr>
        <w:tc>
          <w:tcPr>
            <w:tcW w:w="2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Jeffrey P. Smith</w:t>
            </w:r>
          </w:p>
        </w:tc>
        <w:tc>
          <w:tcPr>
            <w:tcW w:w="2940" w:type="dxa"/>
            <w:vAlign w:val="bottom"/>
          </w:tcPr>
          <w:p>
            <w:pPr>
              <w:spacing w:after="0"/>
              <w:rPr>
                <w:sz w:val="24"/>
                <w:szCs w:val="24"/>
                <w:color w:val="auto"/>
              </w:rPr>
            </w:pPr>
          </w:p>
        </w:tc>
        <w:tc>
          <w:tcPr>
            <w:tcW w:w="1060" w:type="dxa"/>
            <w:vAlign w:val="bottom"/>
          </w:tcPr>
          <w:p>
            <w:pPr>
              <w:jc w:val="center"/>
              <w:ind w:right="4"/>
              <w:spacing w:after="0"/>
              <w:rPr>
                <w:sz w:val="20"/>
                <w:szCs w:val="20"/>
                <w:color w:val="auto"/>
              </w:rPr>
            </w:pPr>
            <w:r>
              <w:rPr>
                <w:rFonts w:ascii="Arial" w:cs="Arial" w:eastAsia="Arial" w:hAnsi="Arial"/>
                <w:sz w:val="18"/>
                <w:szCs w:val="18"/>
                <w:color w:val="auto"/>
                <w:w w:val="90"/>
              </w:rPr>
              <w:t>1,096,557</w:t>
            </w:r>
            <w:r>
              <w:rPr>
                <w:rFonts w:ascii="Arial" w:cs="Arial" w:eastAsia="Arial" w:hAnsi="Arial"/>
                <w:sz w:val="29"/>
                <w:szCs w:val="29"/>
                <w:color w:val="auto"/>
                <w:w w:val="90"/>
                <w:vertAlign w:val="superscript"/>
              </w:rPr>
              <w:t>(2)</w:t>
            </w:r>
          </w:p>
        </w:tc>
        <w:tc>
          <w:tcPr>
            <w:tcW w:w="11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218,540</w:t>
            </w:r>
          </w:p>
        </w:tc>
        <w:tc>
          <w:tcPr>
            <w:tcW w:w="1160" w:type="dxa"/>
            <w:vAlign w:val="bottom"/>
            <w:gridSpan w:val="2"/>
          </w:tcPr>
          <w:p>
            <w:pPr>
              <w:jc w:val="right"/>
              <w:ind w:right="73"/>
              <w:spacing w:after="0"/>
              <w:rPr>
                <w:sz w:val="20"/>
                <w:szCs w:val="20"/>
                <w:color w:val="auto"/>
              </w:rPr>
            </w:pPr>
            <w:r>
              <w:rPr>
                <w:rFonts w:ascii="Arial" w:cs="Arial" w:eastAsia="Arial" w:hAnsi="Arial"/>
                <w:sz w:val="18"/>
                <w:szCs w:val="18"/>
                <w:color w:val="auto"/>
              </w:rPr>
              <w:t>1,738,646</w:t>
            </w:r>
          </w:p>
        </w:tc>
      </w:tr>
    </w:tbl>
    <w:p>
      <w:pPr>
        <w:spacing w:after="0" w:line="221" w:lineRule="exact"/>
        <w:rPr>
          <w:sz w:val="20"/>
          <w:szCs w:val="20"/>
          <w:color w:val="auto"/>
        </w:rPr>
      </w:pPr>
    </w:p>
    <w:p>
      <w:pPr>
        <w:ind w:left="1680" w:right="20" w:hanging="549"/>
        <w:spacing w:after="0" w:line="290"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Mr. Kasbar's prior employment agreement provided that any bonuses payable to him that would not be deductible under Section 162(m) for the year earned would be deferred until a fiscal year in which it would be deductible (or until the year in which Mr. Kasbar's employment terminates or the employment agreement expires), and that any amount so deferred would be credited with interest at the prime rate as published in the Wall Street Journal. A portion of the bonus earned by Mr. Kasbar for the 2002 fiscal year, equal to $109,375, was deferred pursuant to that provision of his employment agreement and remains unpaid. The portion of these earnings in the last fiscal year that constitute "above market earnings" within the meaning of the applicable SEC rules, is reflected in the "Summary Compensation Table" on page 55 of this proxy statement.</w:t>
      </w:r>
    </w:p>
    <w:p>
      <w:pPr>
        <w:spacing w:after="0" w:line="198" w:lineRule="exact"/>
        <w:rPr>
          <w:rFonts w:ascii="Arial" w:cs="Arial" w:eastAsia="Arial" w:hAnsi="Arial"/>
          <w:sz w:val="16"/>
          <w:szCs w:val="16"/>
          <w:color w:val="auto"/>
        </w:rPr>
      </w:pPr>
    </w:p>
    <w:p>
      <w:pPr>
        <w:ind w:left="1680" w:right="360" w:hanging="549"/>
        <w:spacing w:after="0" w:line="268"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amount Mr. Smith contributed to the NQDC during 2019. For more information on the NQDC, see "Retirement and Deferred Compensation" on page 51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Potential Payments upon Termination of Employment or Change of Control</w:t>
      </w:r>
    </w:p>
    <w:p>
      <w:pPr>
        <w:spacing w:after="0" w:line="231" w:lineRule="exact"/>
        <w:rPr>
          <w:sz w:val="20"/>
          <w:szCs w:val="20"/>
          <w:color w:val="auto"/>
        </w:rPr>
      </w:pPr>
    </w:p>
    <w:p>
      <w:pPr>
        <w:ind w:right="120" w:firstLine="614"/>
        <w:spacing w:after="0" w:line="290" w:lineRule="auto"/>
        <w:rPr>
          <w:sz w:val="20"/>
          <w:szCs w:val="20"/>
          <w:color w:val="auto"/>
        </w:rPr>
      </w:pPr>
      <w:r>
        <w:rPr>
          <w:rFonts w:ascii="Arial" w:cs="Arial" w:eastAsia="Arial" w:hAnsi="Arial"/>
          <w:sz w:val="16"/>
          <w:szCs w:val="16"/>
          <w:color w:val="auto"/>
        </w:rPr>
        <w:t>Our employment agreement with Mr. Kasbar (the "Kasbar Agreement") and executive severance agreement with Mr. Birns (the "Birns Agreement") each provides for the payment of certain compensation and benefits in the event of the termination of the executive's employment, the amount of which varies depending upon the reason for such termination. In lieu of entering into separate executive severance agreements with each of Messrs. Crosby and Rau in connection with their promotions to executive officers, our Board adopted an Executive Severance Policy ("ESP") applicable to Messrs. Crosby and Rau and other executives that the Committee may subsequently designate as participating executives. Upon his appointment as our Executive Vice President and Chief Operating Officer in October 2017, Mr. Smith was designated a participating executive. The ESP provides for the payment of certain severance payments and benefits in the event of a termination of such executives' employment in certain specified circumstances.</w:t>
      </w:r>
    </w:p>
    <w:p>
      <w:pPr>
        <w:spacing w:after="0" w:line="172" w:lineRule="exact"/>
        <w:rPr>
          <w:sz w:val="20"/>
          <w:szCs w:val="20"/>
          <w:color w:val="auto"/>
        </w:rPr>
      </w:pPr>
    </w:p>
    <w:p>
      <w:pPr>
        <w:ind w:firstLine="614"/>
        <w:spacing w:after="0" w:line="268" w:lineRule="auto"/>
        <w:rPr>
          <w:sz w:val="20"/>
          <w:szCs w:val="20"/>
          <w:color w:val="auto"/>
        </w:rPr>
      </w:pPr>
      <w:r>
        <w:rPr>
          <w:rFonts w:ascii="Arial" w:cs="Arial" w:eastAsia="Arial" w:hAnsi="Arial"/>
          <w:sz w:val="18"/>
          <w:szCs w:val="18"/>
          <w:color w:val="auto"/>
        </w:rPr>
        <w:t>Each of the Kasbar Agreement, the Birns Agreement and the ESP provides for certain benefits (1) if the NEO's employment is terminated due to Death or Disability, (2) if the NEO's employment is</w:t>
      </w:r>
    </w:p>
    <w:p>
      <w:pPr>
        <w:spacing w:after="0" w:line="180"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terminated by the Company without "Cause" (as that term is defined in the relevant agreement or arrangement) or (3) if the NEO terminates his employment with "Good Reason" (as that term is defined in the relevant agreement or arrangement, which for Messrs. Crosby and Rau is within two (2) years after a Change of Control has occurred). If the employment of any of the four covered NEOs is Terminated without Cause or for Good Reason within two (2) years after a Change of Control then the severance benefits are slightly higher. The actual amounts of such payments are set forth in the table below the relevant definitions.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Termination Without Cause</w:t>
      </w:r>
    </w:p>
    <w:p>
      <w:pPr>
        <w:spacing w:after="0" w:line="225" w:lineRule="exact"/>
        <w:rPr>
          <w:sz w:val="20"/>
          <w:szCs w:val="20"/>
          <w:color w:val="auto"/>
        </w:rPr>
      </w:pPr>
    </w:p>
    <w:p>
      <w:pPr>
        <w:ind w:right="140" w:firstLine="614"/>
        <w:spacing w:after="0" w:line="291" w:lineRule="auto"/>
        <w:rPr>
          <w:sz w:val="20"/>
          <w:szCs w:val="20"/>
          <w:color w:val="auto"/>
        </w:rPr>
      </w:pPr>
      <w:r>
        <w:rPr>
          <w:rFonts w:ascii="Arial" w:cs="Arial" w:eastAsia="Arial" w:hAnsi="Arial"/>
          <w:sz w:val="16"/>
          <w:szCs w:val="16"/>
          <w:u w:val="single" w:color="auto"/>
          <w:color w:val="auto"/>
        </w:rPr>
        <w:t>Kasbar Agreement</w:t>
      </w:r>
      <w:r>
        <w:rPr>
          <w:rFonts w:ascii="Arial" w:cs="Arial" w:eastAsia="Arial" w:hAnsi="Arial"/>
          <w:sz w:val="16"/>
          <w:szCs w:val="16"/>
          <w:color w:val="auto"/>
        </w:rPr>
        <w:t>—Under the Kasbar Agreement, "</w:t>
      </w:r>
      <w:r>
        <w:rPr>
          <w:rFonts w:ascii="Arial" w:cs="Arial" w:eastAsia="Arial" w:hAnsi="Arial"/>
          <w:sz w:val="16"/>
          <w:szCs w:val="16"/>
          <w:i w:val="1"/>
          <w:iCs w:val="1"/>
          <w:color w:val="auto"/>
        </w:rPr>
        <w:t>cause</w:t>
      </w:r>
      <w:r>
        <w:rPr>
          <w:rFonts w:ascii="Arial" w:cs="Arial" w:eastAsia="Arial" w:hAnsi="Arial"/>
          <w:sz w:val="16"/>
          <w:szCs w:val="16"/>
          <w:color w:val="auto"/>
        </w:rPr>
        <w:t>" means (i) any act of fraud, misappropriation, embezzlement or material dishonesty by Mr. Kasbar, which results in his personal enrichment at our expense; (ii) willful misconduct that results in material economic harm to us; (iii) a felony conviction or conviction for a crime involving moral turpitude; (iv) the willful and continued material failure of Mr. Kasbar to perform his duties under the Kasbar Agreement; (v) a willful and material breach by Mr. Kasbar of his non-compete, non-solicitation, non-disparagement or cooperation obligations under the Kasbar Agreement (and in the case of (i) through (v) the failure to cure such breach); or (vi) a material breach by Mr. Kasbar of our Code of Conduct, Securities Trading Policy or any other related corporate and personnel policies generally applicable to our executives or employees.</w:t>
      </w:r>
    </w:p>
    <w:p>
      <w:pPr>
        <w:spacing w:after="0" w:line="174" w:lineRule="exact"/>
        <w:rPr>
          <w:sz w:val="20"/>
          <w:szCs w:val="20"/>
          <w:color w:val="auto"/>
        </w:rPr>
      </w:pPr>
    </w:p>
    <w:p>
      <w:pPr>
        <w:ind w:right="100" w:firstLine="614"/>
        <w:spacing w:after="0" w:line="283" w:lineRule="auto"/>
        <w:rPr>
          <w:sz w:val="20"/>
          <w:szCs w:val="20"/>
          <w:color w:val="auto"/>
        </w:rPr>
      </w:pPr>
      <w:r>
        <w:rPr>
          <w:rFonts w:ascii="Arial" w:cs="Arial" w:eastAsia="Arial" w:hAnsi="Arial"/>
          <w:sz w:val="16"/>
          <w:szCs w:val="16"/>
          <w:u w:val="single" w:color="auto"/>
          <w:color w:val="auto"/>
        </w:rPr>
        <w:t>Birns Agreement</w:t>
      </w:r>
      <w:r>
        <w:rPr>
          <w:rFonts w:ascii="Arial" w:cs="Arial" w:eastAsia="Arial" w:hAnsi="Arial"/>
          <w:sz w:val="16"/>
          <w:szCs w:val="16"/>
          <w:color w:val="auto"/>
        </w:rPr>
        <w:t>—Under the Birns Agreement, "</w:t>
      </w:r>
      <w:r>
        <w:rPr>
          <w:rFonts w:ascii="Arial" w:cs="Arial" w:eastAsia="Arial" w:hAnsi="Arial"/>
          <w:sz w:val="16"/>
          <w:szCs w:val="16"/>
          <w:i w:val="1"/>
          <w:iCs w:val="1"/>
          <w:color w:val="auto"/>
        </w:rPr>
        <w:t>cause</w:t>
      </w:r>
      <w:r>
        <w:rPr>
          <w:rFonts w:ascii="Arial" w:cs="Arial" w:eastAsia="Arial" w:hAnsi="Arial"/>
          <w:sz w:val="16"/>
          <w:szCs w:val="16"/>
          <w:color w:val="auto"/>
        </w:rPr>
        <w:t>" means (i) the willful, material failure by Mr. Birns to perform the duties consistent with his position or to comply with the obligations of the Birns Agreement, or his willful, material failure to carry out the reasonable and lawful directions of our CEO, President or Board and not curing such failure; (ii) any willful and material breach of our Code of Conduct or any other Company policy; (iii) Mr. Birns' gross negligence or willful misconduct which is harmful to us, monetarily or otherwise, including but not limited to fraud, misappropriation or embezzlement;</w:t>
      </w:r>
    </w:p>
    <w:p>
      <w:pPr>
        <w:spacing w:after="0" w:line="3" w:lineRule="exact"/>
        <w:rPr>
          <w:sz w:val="20"/>
          <w:szCs w:val="20"/>
          <w:color w:val="auto"/>
        </w:rPr>
      </w:pPr>
    </w:p>
    <w:p>
      <w:pPr>
        <w:ind w:right="100" w:firstLine="8"/>
        <w:spacing w:after="0" w:line="255" w:lineRule="auto"/>
        <w:tabs>
          <w:tab w:leader="none" w:pos="297"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use of alcohol, drugs or other similar substances during work hours, other than at a Company sanctioned event, or at any time in a manner that adversely affects his work performance; (v) being charged with a criminal offense that is a felony or misdemeanor involving moral turpitude; or (vi) a material breach of the Birns Agreement that cannot be cured.</w:t>
      </w:r>
    </w:p>
    <w:p>
      <w:pPr>
        <w:spacing w:after="0" w:line="198" w:lineRule="exact"/>
        <w:rPr>
          <w:sz w:val="20"/>
          <w:szCs w:val="20"/>
          <w:color w:val="auto"/>
        </w:rPr>
      </w:pPr>
    </w:p>
    <w:p>
      <w:pPr>
        <w:ind w:right="20" w:firstLine="614"/>
        <w:spacing w:after="0" w:line="288" w:lineRule="auto"/>
        <w:rPr>
          <w:sz w:val="20"/>
          <w:szCs w:val="20"/>
          <w:color w:val="auto"/>
        </w:rPr>
      </w:pPr>
      <w:r>
        <w:rPr>
          <w:rFonts w:ascii="Arial" w:cs="Arial" w:eastAsia="Arial" w:hAnsi="Arial"/>
          <w:sz w:val="16"/>
          <w:szCs w:val="16"/>
          <w:u w:val="single" w:color="auto"/>
          <w:color w:val="auto"/>
        </w:rPr>
        <w:t>ESP</w:t>
      </w:r>
      <w:r>
        <w:rPr>
          <w:rFonts w:ascii="Arial" w:cs="Arial" w:eastAsia="Arial" w:hAnsi="Arial"/>
          <w:sz w:val="16"/>
          <w:szCs w:val="16"/>
          <w:color w:val="auto"/>
        </w:rPr>
        <w:t>—Under the ESP, "</w:t>
      </w:r>
      <w:r>
        <w:rPr>
          <w:rFonts w:ascii="Arial" w:cs="Arial" w:eastAsia="Arial" w:hAnsi="Arial"/>
          <w:sz w:val="16"/>
          <w:szCs w:val="16"/>
          <w:i w:val="1"/>
          <w:iCs w:val="1"/>
          <w:color w:val="auto"/>
        </w:rPr>
        <w:t>cause</w:t>
      </w:r>
      <w:r>
        <w:rPr>
          <w:rFonts w:ascii="Arial" w:cs="Arial" w:eastAsia="Arial" w:hAnsi="Arial"/>
          <w:sz w:val="16"/>
          <w:szCs w:val="16"/>
          <w:color w:val="auto"/>
        </w:rPr>
        <w:t>" means (i) the failure by the executive to perform, in a reasonable manner, his or her duties as assigned by the Company or any subsidiary (or any successor company); (ii) any violation or breach by the executive of his or her employment agreement, consulting or other similar agreement with the Company or any subsidiary (or successor company), if any; (iii) any actual or threatened violation or breach by the executive of any non-competition, non-solicitation, non-disclosure and/or other similar agreement with the Company or any subsidiary (or successor company); (iv) any violation or breach by the executive of any Company policy; (v) any act by the executive of dishonesty or fraud that injures the reputation or business of, or causes harm to, the Company or any subsidiary (or successor company); (vi) the conviction of, or entry of a plea of guilty or nolo contendere to, a felony or a crime involving moral turpitude; or (vii) the executive's impeding of, interfering with, or failing to reasonably cooperate with an investigation authorized by the Company or any subsidiary or affiliate. In the event of a change of control, upon and during the two years following such change of control, clauses (i)-(v) above will be deemed to have the term "materiality" inserted as a qualifier to each instance of violation, breach or other misconduct by the executive.</w:t>
      </w:r>
    </w:p>
    <w:p>
      <w:pPr>
        <w:spacing w:after="0" w:line="173" w:lineRule="exact"/>
        <w:rPr>
          <w:sz w:val="20"/>
          <w:szCs w:val="20"/>
          <w:color w:val="auto"/>
        </w:rPr>
      </w:pPr>
    </w:p>
    <w:p>
      <w:pPr>
        <w:ind w:right="40" w:firstLine="614"/>
        <w:spacing w:after="0" w:line="284" w:lineRule="auto"/>
        <w:rPr>
          <w:sz w:val="20"/>
          <w:szCs w:val="20"/>
          <w:color w:val="auto"/>
        </w:rPr>
      </w:pPr>
      <w:r>
        <w:rPr>
          <w:rFonts w:ascii="Arial" w:cs="Arial" w:eastAsia="Arial" w:hAnsi="Arial"/>
          <w:sz w:val="16"/>
          <w:szCs w:val="16"/>
          <w:color w:val="auto"/>
        </w:rPr>
        <w:t>None of the agreements or arrangements provide for any payment of severance or other benefits in the case of a Termination With Cause, although our Deferred Compensation Plan requires repayment of prior earnings that have been deferred irrespective of the basis for employment being terminated and our paid-time-off policy provides that all employees are entitled to their accrued but unused vacation upon termination.</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Termination for Good Reason</w:t>
      </w:r>
    </w:p>
    <w:p>
      <w:pPr>
        <w:spacing w:after="0" w:line="225" w:lineRule="exact"/>
        <w:rPr>
          <w:sz w:val="20"/>
          <w:szCs w:val="20"/>
          <w:color w:val="auto"/>
        </w:rPr>
      </w:pPr>
    </w:p>
    <w:p>
      <w:pPr>
        <w:ind w:firstLine="614"/>
        <w:spacing w:after="0" w:line="287" w:lineRule="auto"/>
        <w:rPr>
          <w:sz w:val="20"/>
          <w:szCs w:val="20"/>
          <w:color w:val="auto"/>
        </w:rPr>
      </w:pPr>
      <w:r>
        <w:rPr>
          <w:rFonts w:ascii="Arial" w:cs="Arial" w:eastAsia="Arial" w:hAnsi="Arial"/>
          <w:sz w:val="16"/>
          <w:szCs w:val="16"/>
          <w:u w:val="single" w:color="auto"/>
          <w:color w:val="auto"/>
        </w:rPr>
        <w:t>Kasbar Agreement</w:t>
      </w:r>
      <w:r>
        <w:rPr>
          <w:rFonts w:ascii="Arial" w:cs="Arial" w:eastAsia="Arial" w:hAnsi="Arial"/>
          <w:sz w:val="16"/>
          <w:szCs w:val="16"/>
          <w:color w:val="auto"/>
        </w:rPr>
        <w:t>—Under the Kasbar Agreement, "</w:t>
      </w:r>
      <w:r>
        <w:rPr>
          <w:rFonts w:ascii="Arial" w:cs="Arial" w:eastAsia="Arial" w:hAnsi="Arial"/>
          <w:sz w:val="16"/>
          <w:szCs w:val="16"/>
          <w:i w:val="1"/>
          <w:iCs w:val="1"/>
          <w:color w:val="auto"/>
        </w:rPr>
        <w:t>good reason</w:t>
      </w:r>
      <w:r>
        <w:rPr>
          <w:rFonts w:ascii="Arial" w:cs="Arial" w:eastAsia="Arial" w:hAnsi="Arial"/>
          <w:sz w:val="16"/>
          <w:szCs w:val="16"/>
          <w:color w:val="auto"/>
        </w:rPr>
        <w:t>" means (i) any reduction in the annual base salary of Mr. Kasbar to a level that is less than 85% of Mr. Kasbar's base salary for the immediately preceding year or our failure to pay or provide any material compensation or benefit other than an insubstantial and inadvertent reduction that is remedied by us; (ii) following a change of control, our failure to provide Mr. Kasbar his total annual cash compensation, including bonus, total aggregate value of perquisites, total aggregate value of benefits or total aggregate value of long-term compensation equal to or higher than the highest level received by Mr. Kasbar in the preceding 6 months or 1 year, in certain cases, other than an insubstantial and inadvertent failure that is remedied by us; (iii) if we require Mr. Kasbar to be based at a location outside of Miami-Dade County, Florida; (iv) our failure to obtain any successor's agreement to perform and assume the Kasbar Agreement; (v) without the express prior written consent of Mr. Kasbar, assigning Mr. Kasbar any duties that are materially inconsistent with his current position (including titles and reporting relationships) or making any other material adverse change in his position, authority, responsibilities or status; and (vi) a voluntary termination by Mr. Kasbar for any reason within 30 days following the first anniversary of a change of control.</w:t>
      </w:r>
    </w:p>
    <w:p>
      <w:pPr>
        <w:spacing w:after="0" w:line="176" w:lineRule="exact"/>
        <w:rPr>
          <w:sz w:val="20"/>
          <w:szCs w:val="20"/>
          <w:color w:val="auto"/>
        </w:rPr>
      </w:pPr>
    </w:p>
    <w:p>
      <w:pPr>
        <w:ind w:right="20" w:firstLine="614"/>
        <w:spacing w:after="0" w:line="290" w:lineRule="auto"/>
        <w:rPr>
          <w:sz w:val="20"/>
          <w:szCs w:val="20"/>
          <w:color w:val="auto"/>
        </w:rPr>
      </w:pPr>
      <w:r>
        <w:rPr>
          <w:rFonts w:ascii="Arial" w:cs="Arial" w:eastAsia="Arial" w:hAnsi="Arial"/>
          <w:sz w:val="16"/>
          <w:szCs w:val="16"/>
          <w:u w:val="single" w:color="auto"/>
          <w:color w:val="auto"/>
        </w:rPr>
        <w:t>Birns Agreement</w:t>
      </w:r>
      <w:r>
        <w:rPr>
          <w:rFonts w:ascii="Arial" w:cs="Arial" w:eastAsia="Arial" w:hAnsi="Arial"/>
          <w:sz w:val="16"/>
          <w:szCs w:val="16"/>
          <w:color w:val="auto"/>
        </w:rPr>
        <w:t>—The definition of "</w:t>
      </w:r>
      <w:r>
        <w:rPr>
          <w:rFonts w:ascii="Arial" w:cs="Arial" w:eastAsia="Arial" w:hAnsi="Arial"/>
          <w:sz w:val="16"/>
          <w:szCs w:val="16"/>
          <w:i w:val="1"/>
          <w:iCs w:val="1"/>
          <w:color w:val="auto"/>
        </w:rPr>
        <w:t>good reason</w:t>
      </w:r>
      <w:r>
        <w:rPr>
          <w:rFonts w:ascii="Arial" w:cs="Arial" w:eastAsia="Arial" w:hAnsi="Arial"/>
          <w:sz w:val="16"/>
          <w:szCs w:val="16"/>
          <w:color w:val="auto"/>
        </w:rPr>
        <w:t>" in the Birns Agreement means the occurrence of any of the following (i) the assignment to the executive of any duties materially inconsistent with his position, authority, duties or responsibility or any other action by us that results in a material diminution in his position, authority, duties or responsibilities, excluding any action not taken by us in bad faith that is remedied; (ii) any reduction in, or failure to pay the executive's base salary other than a reduction or failure remedied by us; (iii) within two years after the occurrence of a change of control, any failure by us to provide the executive his bonus and equity opportunities, or employee benefits and perquisites in the aggregate, that are not less than those provided to the executive in the calendar year immediately preceding the change of control, other than a failure not occurring in bad faith that is remedied by us; or (iv) if we require the executive to be based at any office or location outside of Miami-Dade or Broward County.</w:t>
      </w:r>
    </w:p>
    <w:p>
      <w:pPr>
        <w:spacing w:after="0" w:line="172" w:lineRule="exact"/>
        <w:rPr>
          <w:sz w:val="20"/>
          <w:szCs w:val="20"/>
          <w:color w:val="auto"/>
        </w:rPr>
      </w:pPr>
    </w:p>
    <w:p>
      <w:pPr>
        <w:ind w:right="20" w:firstLine="614"/>
        <w:spacing w:after="0" w:line="282" w:lineRule="auto"/>
        <w:rPr>
          <w:sz w:val="20"/>
          <w:szCs w:val="20"/>
          <w:color w:val="auto"/>
        </w:rPr>
      </w:pPr>
      <w:r>
        <w:rPr>
          <w:rFonts w:ascii="Arial" w:cs="Arial" w:eastAsia="Arial" w:hAnsi="Arial"/>
          <w:sz w:val="16"/>
          <w:szCs w:val="16"/>
          <w:u w:val="single" w:color="auto"/>
          <w:color w:val="auto"/>
        </w:rPr>
        <w:t>ESP</w:t>
      </w:r>
      <w:r>
        <w:rPr>
          <w:rFonts w:ascii="Arial" w:cs="Arial" w:eastAsia="Arial" w:hAnsi="Arial"/>
          <w:sz w:val="16"/>
          <w:szCs w:val="16"/>
          <w:color w:val="auto"/>
        </w:rPr>
        <w:t>—The definition of "</w:t>
      </w:r>
      <w:r>
        <w:rPr>
          <w:rFonts w:ascii="Arial" w:cs="Arial" w:eastAsia="Arial" w:hAnsi="Arial"/>
          <w:sz w:val="16"/>
          <w:szCs w:val="16"/>
          <w:i w:val="1"/>
          <w:iCs w:val="1"/>
          <w:color w:val="auto"/>
        </w:rPr>
        <w:t>good reason</w:t>
      </w:r>
      <w:r>
        <w:rPr>
          <w:rFonts w:ascii="Arial" w:cs="Arial" w:eastAsia="Arial" w:hAnsi="Arial"/>
          <w:sz w:val="16"/>
          <w:szCs w:val="16"/>
          <w:color w:val="auto"/>
        </w:rPr>
        <w:t>" under the ESP is substantially the same as the definition included in the Birns Agreement, except that the events have to have occurred within two years after a "</w:t>
      </w:r>
      <w:r>
        <w:rPr>
          <w:rFonts w:ascii="Arial" w:cs="Arial" w:eastAsia="Arial" w:hAnsi="Arial"/>
          <w:sz w:val="16"/>
          <w:szCs w:val="16"/>
          <w:i w:val="1"/>
          <w:iCs w:val="1"/>
          <w:color w:val="auto"/>
        </w:rPr>
        <w:t>Change of Control</w:t>
      </w:r>
      <w:r>
        <w:rPr>
          <w:rFonts w:ascii="Arial" w:cs="Arial" w:eastAsia="Arial" w:hAnsi="Arial"/>
          <w:sz w:val="16"/>
          <w:szCs w:val="16"/>
          <w:color w:val="auto"/>
        </w:rPr>
        <w:t>" (as defined in the ESP). Specifically, an executive will have the ability to terminate his employment with "</w:t>
      </w:r>
      <w:r>
        <w:rPr>
          <w:rFonts w:ascii="Arial" w:cs="Arial" w:eastAsia="Arial" w:hAnsi="Arial"/>
          <w:sz w:val="16"/>
          <w:szCs w:val="16"/>
          <w:i w:val="1"/>
          <w:iCs w:val="1"/>
          <w:color w:val="auto"/>
        </w:rPr>
        <w:t>Good Reason</w:t>
      </w:r>
      <w:r>
        <w:rPr>
          <w:rFonts w:ascii="Arial" w:cs="Arial" w:eastAsia="Arial" w:hAnsi="Arial"/>
          <w:sz w:val="16"/>
          <w:szCs w:val="16"/>
          <w:color w:val="auto"/>
        </w:rPr>
        <w:t>" upon the happening of any of the following within two years after a "</w:t>
      </w:r>
      <w:r>
        <w:rPr>
          <w:rFonts w:ascii="Arial" w:cs="Arial" w:eastAsia="Arial" w:hAnsi="Arial"/>
          <w:sz w:val="16"/>
          <w:szCs w:val="16"/>
          <w:i w:val="1"/>
          <w:iCs w:val="1"/>
          <w:color w:val="auto"/>
        </w:rPr>
        <w:t>Change of Control</w:t>
      </w:r>
      <w:r>
        <w:rPr>
          <w:rFonts w:ascii="Arial" w:cs="Arial" w:eastAsia="Arial" w:hAnsi="Arial"/>
          <w:sz w:val="16"/>
          <w:szCs w:val="16"/>
          <w:color w:val="auto"/>
        </w:rPr>
        <w:t>": (i) the assignment to the executive of any duties materially inconsistent with his position, authority, duties or responsibility or any other action by us that results in a material diminution in his position, authority, duties or responsibilities, excluding any action not taken by us in bad faith that is remedied; (ii) any reduction in, or failure to pay the executive's base salary other than a reduction or failure remedied by us; (iii) any failure by us to provide the executive his bonus and equity opportunities, or employee benefits and perquisites in the aggregate, that are not less than those provided to the executive in the calendar year immediately preceding the change of control, other than a failure not occurring in bad faith that is remedied by us; or (iv) if we require the executive to be based at any office or location outside of Miami-Dade or Broward County.</w:t>
      </w:r>
    </w:p>
    <w:p>
      <w:pPr>
        <w:spacing w:after="0" w:line="5"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Change of Control</w:t>
      </w:r>
    </w:p>
    <w:p>
      <w:pPr>
        <w:spacing w:after="0" w:line="225" w:lineRule="exact"/>
        <w:rPr>
          <w:sz w:val="20"/>
          <w:szCs w:val="20"/>
          <w:color w:val="auto"/>
        </w:rPr>
      </w:pPr>
    </w:p>
    <w:p>
      <w:pPr>
        <w:ind w:right="20" w:firstLine="614"/>
        <w:spacing w:after="0" w:line="262" w:lineRule="auto"/>
        <w:rPr>
          <w:sz w:val="20"/>
          <w:szCs w:val="20"/>
          <w:color w:val="auto"/>
        </w:rPr>
      </w:pPr>
      <w:r>
        <w:rPr>
          <w:rFonts w:ascii="Arial" w:cs="Arial" w:eastAsia="Arial" w:hAnsi="Arial"/>
          <w:sz w:val="16"/>
          <w:szCs w:val="16"/>
          <w:color w:val="auto"/>
        </w:rPr>
        <w:t>Under the Kasbar Agreement, the Birns Agreement and the ESP, a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is deemed to have occurred if (i) any person or "group" (as defined in Section 13(d)(3) of the Exchange Act), excluding any employee benefit plans, becomes the beneficial owner of at least (a) 30% (in the case of the ESP) or (b) 20% (in the case of the Kasbar Agreement or the Birns Agreement) of the combined voting power of our outstanding common stock; (ii) we merge, consolidate, reorganize or carry out any similar event which results in the holders of our common stock prior to the event owning less than 51% of the total voting power of the capital stock of the surviving company; (iii) our current Board ceases to make up at least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of our Board, the board of the surviving</w:t>
      </w:r>
    </w:p>
    <w:p>
      <w:pPr>
        <w:spacing w:after="0" w:line="4"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 xml:space="preserve">company or the board of the controlling company, as the case may be, with the exception that any director approved by a vote of at least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our current Board will be considered to be a member of our current Board; or (iv) we are liquidated or dissolved or we sell all or substantially all of our assets. In addition, the Kasbar Agreement provides that a change of control is deemed to have occurred if we enter into an agreement or our Board passes a resolution to do any of the items listed in (i)-(iv) above and Mr. Kasbar's employment is terminated after the execution of any such agreement or the passage of any such resolution, but before the event takes place.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Severance Payments and Benefits</w:t>
      </w:r>
    </w:p>
    <w:p>
      <w:pPr>
        <w:spacing w:after="0" w:line="225" w:lineRule="exact"/>
        <w:rPr>
          <w:sz w:val="20"/>
          <w:szCs w:val="20"/>
          <w:color w:val="auto"/>
        </w:rPr>
      </w:pPr>
    </w:p>
    <w:p>
      <w:pPr>
        <w:ind w:right="320" w:firstLine="614"/>
        <w:spacing w:after="0" w:line="268" w:lineRule="auto"/>
        <w:rPr>
          <w:sz w:val="20"/>
          <w:szCs w:val="20"/>
          <w:color w:val="auto"/>
        </w:rPr>
      </w:pPr>
      <w:r>
        <w:rPr>
          <w:rFonts w:ascii="Arial" w:cs="Arial" w:eastAsia="Arial" w:hAnsi="Arial"/>
          <w:sz w:val="18"/>
          <w:szCs w:val="18"/>
          <w:color w:val="auto"/>
        </w:rPr>
        <w:t>Kasbar Agreement—As set forth in the table below, upon the occurrence of a termination by Mr. Kasbar for good reason, by the Company without cause, following a change of control or non-renewal, we will make the following payments:</w:t>
      </w:r>
    </w:p>
    <w:p>
      <w:pPr>
        <w:spacing w:after="0" w:line="199"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Accrued Obligations (as defined in the Kasbar Agreement);</w:t>
      </w:r>
    </w:p>
    <w:p>
      <w:pPr>
        <w:spacing w:after="0" w:line="252"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annualized amount of $750,000 ($1,250,000 for termination following a change of control) per year for a two-year period immediately following the termination date;</w:t>
      </w:r>
    </w:p>
    <w:p>
      <w:pPr>
        <w:spacing w:after="0" w:line="199" w:lineRule="exact"/>
        <w:rPr>
          <w:rFonts w:ascii="Arial" w:cs="Arial" w:eastAsia="Arial" w:hAnsi="Arial"/>
          <w:sz w:val="18"/>
          <w:szCs w:val="18"/>
          <w:color w:val="auto"/>
        </w:rPr>
      </w:pPr>
    </w:p>
    <w:p>
      <w:pPr>
        <w:ind w:left="540" w:right="340" w:hanging="532"/>
        <w:spacing w:after="0" w:line="25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continued health insurance coverage in effect as of the termination date for Mr. Kasbar and his immediate family until Mr. Kasbar is no longer eligible for coverage under our health plans through COBRA or he becomes eligible for health insurance coverage through employment or services provided to another person or entity; and</w:t>
      </w:r>
    </w:p>
    <w:p>
      <w:pPr>
        <w:spacing w:after="0" w:line="193" w:lineRule="exact"/>
        <w:rPr>
          <w:rFonts w:ascii="Arial" w:cs="Arial" w:eastAsia="Arial" w:hAnsi="Arial"/>
          <w:sz w:val="18"/>
          <w:szCs w:val="18"/>
          <w:color w:val="auto"/>
        </w:rPr>
      </w:pPr>
    </w:p>
    <w:p>
      <w:pPr>
        <w:ind w:left="540" w:right="100"/>
        <w:spacing w:after="0" w:line="285" w:lineRule="auto"/>
        <w:rPr>
          <w:rFonts w:ascii="Arial" w:cs="Arial" w:eastAsia="Arial" w:hAnsi="Arial"/>
          <w:sz w:val="18"/>
          <w:szCs w:val="18"/>
          <w:color w:val="auto"/>
        </w:rPr>
      </w:pPr>
      <w:r>
        <w:rPr>
          <w:rFonts w:ascii="Arial" w:cs="Arial" w:eastAsia="Arial" w:hAnsi="Arial"/>
          <w:sz w:val="16"/>
          <w:szCs w:val="16"/>
          <w:color w:val="auto"/>
        </w:rPr>
        <w:t>(b) after Mr. Kasbar is no longer eligible for coverage through COBRA, reimbursement for the cost of obtaining private health insurance coverage that is comparable to the coverage provided to Mr. Kasbar and his immediate family until Mr. Kasbar turns 65 or, if earlier, the date on which neither</w:t>
      </w:r>
    </w:p>
    <w:p>
      <w:pPr>
        <w:spacing w:after="0" w:line="1" w:lineRule="exact"/>
        <w:rPr>
          <w:rFonts w:ascii="Arial" w:cs="Arial" w:eastAsia="Arial" w:hAnsi="Arial"/>
          <w:sz w:val="18"/>
          <w:szCs w:val="18"/>
          <w:color w:val="auto"/>
        </w:rPr>
      </w:pPr>
    </w:p>
    <w:p>
      <w:pPr>
        <w:ind w:left="540" w:right="20"/>
        <w:spacing w:after="0" w:line="260" w:lineRule="auto"/>
        <w:rPr>
          <w:rFonts w:ascii="Arial" w:cs="Arial" w:eastAsia="Arial" w:hAnsi="Arial"/>
          <w:sz w:val="18"/>
          <w:szCs w:val="18"/>
          <w:color w:val="auto"/>
        </w:rPr>
      </w:pPr>
      <w:r>
        <w:rPr>
          <w:rFonts w:ascii="Arial" w:cs="Arial" w:eastAsia="Arial" w:hAnsi="Arial"/>
          <w:sz w:val="18"/>
          <w:szCs w:val="18"/>
          <w:color w:val="auto"/>
        </w:rPr>
        <w:t>Mr. Kasbar nor his surviving spouse is living, subject to certain exclusions, provided that the aggregate amount the Company is required to pay for such coverage does not exceed $150,000 in the aggregate; and</w:t>
      </w:r>
    </w:p>
    <w:p>
      <w:pPr>
        <w:spacing w:after="0" w:line="206" w:lineRule="exact"/>
        <w:rPr>
          <w:rFonts w:ascii="Arial" w:cs="Arial" w:eastAsia="Arial" w:hAnsi="Arial"/>
          <w:sz w:val="18"/>
          <w:szCs w:val="18"/>
          <w:color w:val="auto"/>
        </w:rPr>
      </w:pPr>
    </w:p>
    <w:p>
      <w:pPr>
        <w:ind w:left="540" w:right="560" w:hanging="532"/>
        <w:spacing w:after="0" w:line="268"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lump sum in the amount of $1,500,000 ($2,500,000 for termination following a change of control) within 5 business days of the last day of the restricted period.</w:t>
      </w:r>
    </w:p>
    <w:p>
      <w:pPr>
        <w:spacing w:after="0" w:line="186" w:lineRule="exact"/>
        <w:rPr>
          <w:sz w:val="20"/>
          <w:szCs w:val="20"/>
          <w:color w:val="auto"/>
        </w:rPr>
      </w:pPr>
    </w:p>
    <w:p>
      <w:pPr>
        <w:ind w:right="120" w:firstLine="614"/>
        <w:spacing w:after="0" w:line="254" w:lineRule="auto"/>
        <w:rPr>
          <w:sz w:val="20"/>
          <w:szCs w:val="20"/>
          <w:color w:val="auto"/>
        </w:rPr>
      </w:pPr>
      <w:r>
        <w:rPr>
          <w:rFonts w:ascii="Arial" w:cs="Arial" w:eastAsia="Arial" w:hAnsi="Arial"/>
          <w:sz w:val="18"/>
          <w:szCs w:val="18"/>
          <w:color w:val="auto"/>
        </w:rPr>
        <w:t>Upon the occurrence of a termination by Mr. Kasbar without good reason, by the Company for cause or by the Company due to Mr. Kasbar's death or disability, Mr. Kasbar will be entitled to the payments specified in (i) above.</w:t>
      </w: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u w:val="single" w:color="auto"/>
          <w:color w:val="auto"/>
        </w:rPr>
        <w:t>Birns Agreement and ESP</w:t>
      </w:r>
      <w:r>
        <w:rPr>
          <w:rFonts w:ascii="Arial" w:cs="Arial" w:eastAsia="Arial" w:hAnsi="Arial"/>
          <w:sz w:val="16"/>
          <w:szCs w:val="16"/>
          <w:color w:val="auto"/>
        </w:rPr>
        <w:t>—As set forth in the table below, under the Birns Agreement and the ESP, upon the occurrence of a termination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without Cause or by the executive for good reason we will make the following payments:</w:t>
      </w:r>
    </w:p>
    <w:p>
      <w:pPr>
        <w:spacing w:after="0" w:line="232" w:lineRule="exact"/>
        <w:rPr>
          <w:sz w:val="20"/>
          <w:szCs w:val="20"/>
          <w:color w:val="auto"/>
        </w:rPr>
      </w:pPr>
    </w:p>
    <w:p>
      <w:pPr>
        <w:ind w:left="540" w:hanging="532"/>
        <w:spacing w:after="0" w:line="331"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 amount equal to accrued but unpaid base salary and benefits (including accrued vacation) through the date of termination, in the case of Mr. Birns, or Accrued Obligations (as defined in the ESP) such Accrued Obligations to be paid no later than 60 days after the date of termination;</w:t>
      </w:r>
    </w:p>
    <w:p>
      <w:pPr>
        <w:spacing w:after="0" w:line="167" w:lineRule="exact"/>
        <w:rPr>
          <w:rFonts w:ascii="Arial" w:cs="Arial" w:eastAsia="Arial" w:hAnsi="Arial"/>
          <w:sz w:val="16"/>
          <w:szCs w:val="16"/>
          <w:color w:val="auto"/>
        </w:rPr>
      </w:pPr>
    </w:p>
    <w:p>
      <w:pPr>
        <w:ind w:left="540" w:hanging="532"/>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unpaid bonus for the year prior to the year of termination to be paid on the same date that bonuses are paid to our other senior executive officers;</w:t>
      </w:r>
    </w:p>
    <w:p>
      <w:pPr>
        <w:spacing w:after="0" w:line="261" w:lineRule="exact"/>
        <w:rPr>
          <w:rFonts w:ascii="Arial" w:cs="Arial" w:eastAsia="Arial" w:hAnsi="Arial"/>
          <w:sz w:val="16"/>
          <w:szCs w:val="16"/>
          <w:color w:val="auto"/>
        </w:rPr>
      </w:pPr>
    </w:p>
    <w:p>
      <w:pPr>
        <w:ind w:left="540" w:right="100" w:hanging="532"/>
        <w:spacing w:after="0" w:line="256"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prorated bonus for the calendar year in which the executive's employment is terminated, however, no pro-rated bonus will be paid if the executive's termination date occurs before the payment of bonuses for the prior calendar year. Any such bonus will be prorated based on the bonus the executive would have earned if he or she had remained employed by us for the entire year. Any such bonus will be paid on the same date that bonuses are paid to our other senior executive officers;</w:t>
      </w:r>
    </w:p>
    <w:p>
      <w:pPr>
        <w:spacing w:after="0" w:line="210" w:lineRule="exact"/>
        <w:rPr>
          <w:rFonts w:ascii="Arial" w:cs="Arial" w:eastAsia="Arial" w:hAnsi="Arial"/>
          <w:sz w:val="18"/>
          <w:szCs w:val="18"/>
          <w:color w:val="auto"/>
        </w:rPr>
      </w:pPr>
    </w:p>
    <w:p>
      <w:pPr>
        <w:ind w:left="540" w:hanging="532"/>
        <w:spacing w:after="0" w:line="306"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continued health insurance coverage in effect as of the termination date for the executive and his immediate family, or covered dependents in the case of the ESP, for a period of up to 18 months. Such coverage will terminate earlier if the executive becomes eligible for health insurance coverage through employment or services provided to another person or entity, or, in the case of the ESP, if the executive attains the age of 65; and</w:t>
      </w:r>
    </w:p>
    <w:p>
      <w:pPr>
        <w:spacing w:after="0" w:line="187"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Mr. Birns, a severance payment in an amount equal to two times base salary as of the termination date and, in the case of the ESP, a multiple (one or two times as determined by the Compensation Committee) of the executive's base salary as of the termination date, which will be paid to each executive in regular payroll installments over a 24-month period following termination.</w:t>
      </w:r>
    </w:p>
    <w:p>
      <w:pPr>
        <w:spacing w:after="0" w:line="194" w:lineRule="exact"/>
        <w:rPr>
          <w:sz w:val="20"/>
          <w:szCs w:val="20"/>
          <w:color w:val="auto"/>
        </w:rPr>
      </w:pPr>
    </w:p>
    <w:p>
      <w:pPr>
        <w:ind w:right="300" w:firstLine="614"/>
        <w:spacing w:after="0" w:line="268" w:lineRule="auto"/>
        <w:rPr>
          <w:sz w:val="20"/>
          <w:szCs w:val="20"/>
          <w:color w:val="auto"/>
        </w:rPr>
      </w:pPr>
      <w:r>
        <w:rPr>
          <w:rFonts w:ascii="Arial" w:cs="Arial" w:eastAsia="Arial" w:hAnsi="Arial"/>
          <w:sz w:val="18"/>
          <w:szCs w:val="18"/>
          <w:color w:val="auto"/>
        </w:rPr>
        <w:t>Upon the occurrence of a termination due to death or disability, Mr. Birns will be entitled to the payments specified in (i)-(iii) above and, under the ESP, Messrs. Smith, Crosby and Rau will be entitled to the payments specified in (i)-(iv)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Potential Payments Upon Termination Table</w:t>
      </w:r>
    </w:p>
    <w:p>
      <w:pPr>
        <w:spacing w:after="0" w:line="231" w:lineRule="exact"/>
        <w:rPr>
          <w:sz w:val="20"/>
          <w:szCs w:val="20"/>
          <w:color w:val="auto"/>
        </w:rPr>
      </w:pPr>
    </w:p>
    <w:p>
      <w:pPr>
        <w:ind w:right="100" w:firstLine="611"/>
        <w:spacing w:after="0" w:line="291" w:lineRule="auto"/>
        <w:rPr>
          <w:sz w:val="20"/>
          <w:szCs w:val="20"/>
          <w:color w:val="auto"/>
        </w:rPr>
      </w:pPr>
      <w:r>
        <w:rPr>
          <w:rFonts w:ascii="Arial" w:cs="Arial" w:eastAsia="Arial" w:hAnsi="Arial"/>
          <w:sz w:val="16"/>
          <w:szCs w:val="16"/>
          <w:color w:val="auto"/>
        </w:rPr>
        <w:t>The estimated payments and benefits that would be provided to each of the NEOs pursuant to their respective agreements or the ESP, as the case may be, as a result of (1) Termination by Company for Cause or by Executive Without Good Reason, (2) Termination by Company Without Cause, (3) Termination by Executive for Good Reason, (4) Termination by Company Without Cause or by Executive for Good Reason within two (2) years of a Change of Control, and (5) Termination of employment due to death or disability are set forth in the table below. Calculations for this table are based on the assumption that the termination took place on December 31, 2019. In order to receive the benefits set forth below, an executive must satisfy certain restrictive covenants for a specified period of time after the termination event before any cash severance payment is made. We have the right to</w:t>
      </w:r>
    </w:p>
    <w:p>
      <w:pPr>
        <w:spacing w:after="0" w:line="168"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pay or provide these benefits or discontinue the payment and provision of these benefits if the executive fails to satisfy such obligations.</w:t>
      </w:r>
    </w:p>
    <w:p>
      <w:pPr>
        <w:spacing w:after="0" w:line="21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8"/>
              </w:rPr>
              <w:t>Severance</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Pro-Rata</w:t>
            </w: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Medical</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3"/>
        </w:trPr>
        <w:tc>
          <w:tcPr>
            <w:tcW w:w="26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00"/>
              <w:spacing w:after="0" w:line="193" w:lineRule="exact"/>
              <w:rPr>
                <w:sz w:val="20"/>
                <w:szCs w:val="20"/>
                <w:color w:val="auto"/>
              </w:rPr>
            </w:pPr>
            <w:r>
              <w:rPr>
                <w:rFonts w:ascii="Arial" w:cs="Arial" w:eastAsia="Arial" w:hAnsi="Arial"/>
                <w:sz w:val="13"/>
                <w:szCs w:val="13"/>
                <w:b w:val="1"/>
                <w:bCs w:val="1"/>
                <w:color w:val="auto"/>
                <w:w w:val="94"/>
              </w:rPr>
              <w:t>Payment</w:t>
            </w:r>
            <w:r>
              <w:rPr>
                <w:rFonts w:ascii="Arial" w:cs="Arial" w:eastAsia="Arial" w:hAnsi="Arial"/>
                <w:sz w:val="22"/>
                <w:szCs w:val="22"/>
                <w:b w:val="1"/>
                <w:bCs w:val="1"/>
                <w:color w:val="auto"/>
                <w:w w:val="94"/>
                <w:vertAlign w:val="superscript"/>
              </w:rPr>
              <w:t>(1)</w:t>
            </w:r>
          </w:p>
        </w:tc>
        <w:tc>
          <w:tcPr>
            <w:tcW w:w="900" w:type="dxa"/>
            <w:vAlign w:val="bottom"/>
            <w:gridSpan w:val="2"/>
          </w:tcPr>
          <w:p>
            <w:pPr>
              <w:jc w:val="right"/>
              <w:ind w:right="280"/>
              <w:spacing w:after="0" w:line="193" w:lineRule="exact"/>
              <w:rPr>
                <w:sz w:val="20"/>
                <w:szCs w:val="20"/>
                <w:color w:val="auto"/>
              </w:rPr>
            </w:pPr>
            <w:r>
              <w:rPr>
                <w:rFonts w:ascii="Arial" w:cs="Arial" w:eastAsia="Arial" w:hAnsi="Arial"/>
                <w:sz w:val="13"/>
                <w:szCs w:val="13"/>
                <w:b w:val="1"/>
                <w:bCs w:val="1"/>
                <w:color w:val="auto"/>
              </w:rPr>
              <w:t>Bonus</w:t>
            </w:r>
            <w:r>
              <w:rPr>
                <w:rFonts w:ascii="Arial" w:cs="Arial" w:eastAsia="Arial" w:hAnsi="Arial"/>
                <w:sz w:val="22"/>
                <w:szCs w:val="22"/>
                <w:b w:val="1"/>
                <w:bCs w:val="1"/>
                <w:color w:val="auto"/>
                <w:vertAlign w:val="superscript"/>
              </w:rPr>
              <w:t>(2)</w:t>
            </w:r>
          </w:p>
        </w:tc>
        <w:tc>
          <w:tcPr>
            <w:tcW w:w="880" w:type="dxa"/>
            <w:vAlign w:val="bottom"/>
            <w:gridSpan w:val="2"/>
          </w:tcPr>
          <w:p>
            <w:pPr>
              <w:jc w:val="right"/>
              <w:ind w:right="220"/>
              <w:spacing w:after="0" w:line="193" w:lineRule="exact"/>
              <w:rPr>
                <w:sz w:val="20"/>
                <w:szCs w:val="20"/>
                <w:color w:val="auto"/>
              </w:rPr>
            </w:pPr>
            <w:r>
              <w:rPr>
                <w:rFonts w:ascii="Arial" w:cs="Arial" w:eastAsia="Arial" w:hAnsi="Arial"/>
                <w:sz w:val="13"/>
                <w:szCs w:val="13"/>
                <w:b w:val="1"/>
                <w:bCs w:val="1"/>
                <w:color w:val="auto"/>
                <w:w w:val="92"/>
              </w:rPr>
              <w:t>Benefits</w:t>
            </w:r>
            <w:r>
              <w:rPr>
                <w:rFonts w:ascii="Arial" w:cs="Arial" w:eastAsia="Arial" w:hAnsi="Arial"/>
                <w:sz w:val="22"/>
                <w:szCs w:val="22"/>
                <w:b w:val="1"/>
                <w:bCs w:val="1"/>
                <w:color w:val="auto"/>
                <w:w w:val="92"/>
                <w:vertAlign w:val="superscript"/>
              </w:rPr>
              <w:t>(3)</w:t>
            </w:r>
          </w:p>
        </w:tc>
        <w:tc>
          <w:tcPr>
            <w:tcW w:w="900" w:type="dxa"/>
            <w:vAlign w:val="bottom"/>
            <w:gridSpan w:val="2"/>
          </w:tcPr>
          <w:p>
            <w:pPr>
              <w:jc w:val="right"/>
              <w:ind w:right="300"/>
              <w:spacing w:after="0" w:line="193" w:lineRule="exact"/>
              <w:rPr>
                <w:sz w:val="20"/>
                <w:szCs w:val="20"/>
                <w:color w:val="auto"/>
              </w:rPr>
            </w:pPr>
            <w:r>
              <w:rPr>
                <w:rFonts w:ascii="Arial" w:cs="Arial" w:eastAsia="Arial" w:hAnsi="Arial"/>
                <w:sz w:val="13"/>
                <w:szCs w:val="13"/>
                <w:b w:val="1"/>
                <w:bCs w:val="1"/>
                <w:color w:val="auto"/>
              </w:rPr>
              <w:t>Total</w:t>
            </w:r>
            <w:r>
              <w:rPr>
                <w:rFonts w:ascii="Arial" w:cs="Arial" w:eastAsia="Arial" w:hAnsi="Arial"/>
                <w:sz w:val="22"/>
                <w:szCs w:val="22"/>
                <w:b w:val="1"/>
                <w:bCs w:val="1"/>
                <w:color w:val="auto"/>
                <w:vertAlign w:val="superscript"/>
              </w:rPr>
              <w:t>(4)</w:t>
            </w:r>
          </w:p>
        </w:tc>
      </w:tr>
      <w:tr>
        <w:trPr>
          <w:trHeight w:val="20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Mr. Kasbar</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Termination by Company for Cause or by Executive Without Good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5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Reason</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0"/>
        </w:trPr>
        <w:tc>
          <w:tcPr>
            <w:tcW w:w="5240" w:type="dxa"/>
            <w:vAlign w:val="bottom"/>
            <w:gridSpan w:val="2"/>
            <w:shd w:val="clear" w:color="auto" w:fill="CCEEFF"/>
          </w:tcPr>
          <w:p>
            <w:pPr>
              <w:ind w:left="180"/>
              <w:spacing w:after="0" w:line="251" w:lineRule="exact"/>
              <w:rPr>
                <w:sz w:val="20"/>
                <w:szCs w:val="20"/>
                <w:color w:val="auto"/>
              </w:rPr>
            </w:pPr>
            <w:r>
              <w:rPr>
                <w:rFonts w:ascii="Arial" w:cs="Arial" w:eastAsia="Arial" w:hAnsi="Arial"/>
                <w:sz w:val="18"/>
                <w:szCs w:val="18"/>
                <w:color w:val="auto"/>
                <w:w w:val="91"/>
              </w:rPr>
              <w:t>Termination by Company Without Cause</w:t>
            </w:r>
            <w:r>
              <w:rPr>
                <w:rFonts w:ascii="Arial" w:cs="Arial" w:eastAsia="Arial" w:hAnsi="Arial"/>
                <w:sz w:val="29"/>
                <w:szCs w:val="29"/>
                <w:color w:val="auto"/>
                <w:w w:val="91"/>
                <w:vertAlign w:val="superscript"/>
              </w:rPr>
              <w:t>(5)</w:t>
            </w:r>
            <w:r>
              <w:rPr>
                <w:rFonts w:ascii="Arial" w:cs="Arial" w:eastAsia="Arial" w:hAnsi="Arial"/>
                <w:sz w:val="18"/>
                <w:szCs w:val="18"/>
                <w:color w:val="auto"/>
                <w:w w:val="91"/>
              </w:rPr>
              <w:t xml:space="preserve"> or by Executive for Good</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22"/>
        </w:trPr>
        <w:tc>
          <w:tcPr>
            <w:tcW w:w="5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Reason</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3,000,000</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4,225,969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28,627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7,254,596</w:t>
            </w:r>
          </w:p>
        </w:tc>
      </w:tr>
      <w:tr>
        <w:trPr>
          <w:trHeight w:val="210"/>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Termination by Company Without Cause or by Executive for Good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5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Reason within two (2) years of a Change of Control</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5,000,000</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4,225,969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28,627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9,254,596</w:t>
            </w:r>
          </w:p>
        </w:tc>
      </w:tr>
      <w:tr>
        <w:trPr>
          <w:trHeight w:val="218"/>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Death or Disability</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4,225,969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4,225,969</w:t>
            </w:r>
          </w:p>
        </w:tc>
      </w:tr>
      <w:tr>
        <w:trPr>
          <w:trHeight w:val="208"/>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Mr. Birns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40" w:type="dxa"/>
            <w:vAlign w:val="bottom"/>
            <w:gridSpan w:val="2"/>
          </w:tcPr>
          <w:p>
            <w:pPr>
              <w:ind w:left="180"/>
              <w:spacing w:after="0"/>
              <w:rPr>
                <w:sz w:val="20"/>
                <w:szCs w:val="20"/>
                <w:color w:val="auto"/>
              </w:rPr>
            </w:pPr>
            <w:r>
              <w:rPr>
                <w:rFonts w:ascii="Arial" w:cs="Arial" w:eastAsia="Arial" w:hAnsi="Arial"/>
                <w:sz w:val="18"/>
                <w:szCs w:val="18"/>
                <w:color w:val="auto"/>
                <w:w w:val="95"/>
              </w:rPr>
              <w:t>Termination by Company for Cause or by Executive Without Good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40" w:type="dxa"/>
            <w:vAlign w:val="bottom"/>
            <w:gridSpan w:val="2"/>
          </w:tcPr>
          <w:p>
            <w:pPr>
              <w:ind w:left="340"/>
              <w:spacing w:after="0"/>
              <w:rPr>
                <w:sz w:val="20"/>
                <w:szCs w:val="20"/>
                <w:color w:val="auto"/>
              </w:rPr>
            </w:pPr>
            <w:r>
              <w:rPr>
                <w:rFonts w:ascii="Arial" w:cs="Arial" w:eastAsia="Arial" w:hAnsi="Arial"/>
                <w:sz w:val="18"/>
                <w:szCs w:val="18"/>
                <w:color w:val="auto"/>
              </w:rPr>
              <w:t>Reason</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tcPr>
          <w:p>
            <w:pPr>
              <w:ind w:left="180"/>
              <w:spacing w:after="0"/>
              <w:rPr>
                <w:sz w:val="20"/>
                <w:szCs w:val="20"/>
                <w:color w:val="auto"/>
              </w:rPr>
            </w:pPr>
            <w:r>
              <w:rPr>
                <w:rFonts w:ascii="Arial" w:cs="Arial" w:eastAsia="Arial" w:hAnsi="Arial"/>
                <w:sz w:val="18"/>
                <w:szCs w:val="18"/>
                <w:color w:val="auto"/>
                <w:w w:val="95"/>
              </w:rPr>
              <w:t>Termination by Company Without Cause or by Executive for Good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40" w:type="dxa"/>
            <w:vAlign w:val="bottom"/>
            <w:gridSpan w:val="2"/>
          </w:tcPr>
          <w:p>
            <w:pPr>
              <w:ind w:left="340"/>
              <w:spacing w:after="0"/>
              <w:rPr>
                <w:sz w:val="20"/>
                <w:szCs w:val="20"/>
                <w:color w:val="auto"/>
              </w:rPr>
            </w:pPr>
            <w:r>
              <w:rPr>
                <w:rFonts w:ascii="Arial" w:cs="Arial" w:eastAsia="Arial" w:hAnsi="Arial"/>
                <w:sz w:val="18"/>
                <w:szCs w:val="18"/>
                <w:color w:val="auto"/>
              </w:rPr>
              <w:t>Reason</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1,200,000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1,694,745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38,665</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2,933,411</w:t>
            </w:r>
          </w:p>
        </w:tc>
      </w:tr>
      <w:tr>
        <w:trPr>
          <w:trHeight w:val="216"/>
        </w:trPr>
        <w:tc>
          <w:tcPr>
            <w:tcW w:w="5240" w:type="dxa"/>
            <w:vAlign w:val="bottom"/>
            <w:gridSpan w:val="2"/>
          </w:tcPr>
          <w:p>
            <w:pPr>
              <w:ind w:left="180"/>
              <w:spacing w:after="0"/>
              <w:rPr>
                <w:sz w:val="20"/>
                <w:szCs w:val="20"/>
                <w:color w:val="auto"/>
              </w:rPr>
            </w:pPr>
            <w:r>
              <w:rPr>
                <w:rFonts w:ascii="Arial" w:cs="Arial" w:eastAsia="Arial" w:hAnsi="Arial"/>
                <w:sz w:val="18"/>
                <w:szCs w:val="18"/>
                <w:color w:val="auto"/>
                <w:w w:val="95"/>
              </w:rPr>
              <w:t>Termination by Company Without Cause or by Executive for Good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40" w:type="dxa"/>
            <w:vAlign w:val="bottom"/>
            <w:gridSpan w:val="2"/>
          </w:tcPr>
          <w:p>
            <w:pPr>
              <w:ind w:left="340"/>
              <w:spacing w:after="0"/>
              <w:rPr>
                <w:sz w:val="20"/>
                <w:szCs w:val="20"/>
                <w:color w:val="auto"/>
              </w:rPr>
            </w:pPr>
            <w:r>
              <w:rPr>
                <w:rFonts w:ascii="Arial" w:cs="Arial" w:eastAsia="Arial" w:hAnsi="Arial"/>
                <w:sz w:val="18"/>
                <w:szCs w:val="18"/>
                <w:color w:val="auto"/>
              </w:rPr>
              <w:t>Reason within two (2) years of a Change of Control</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1,200,000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1,694,745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38,665</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2,933,411</w:t>
            </w:r>
          </w:p>
        </w:tc>
      </w:tr>
      <w:tr>
        <w:trPr>
          <w:trHeight w:val="223"/>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Death or Disability</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1,694,745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1,694,745</w:t>
            </w:r>
          </w:p>
        </w:tc>
      </w:tr>
      <w:tr>
        <w:trPr>
          <w:trHeight w:val="217"/>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Mr. Smith</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Termination by Company for Cause or by Executive Without Good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5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Reason</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8"/>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Termination by Company Without Cause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734,614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38,665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1,373,280</w:t>
            </w:r>
          </w:p>
        </w:tc>
      </w:tr>
      <w:tr>
        <w:trPr>
          <w:trHeight w:val="20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Termination by Company Without Cause or by Executive for Good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4"/>
        </w:trPr>
        <w:tc>
          <w:tcPr>
            <w:tcW w:w="5240" w:type="dxa"/>
            <w:vAlign w:val="bottom"/>
            <w:gridSpan w:val="2"/>
            <w:shd w:val="clear" w:color="auto" w:fill="CCEEFF"/>
          </w:tcPr>
          <w:p>
            <w:pPr>
              <w:ind w:left="340"/>
              <w:spacing w:after="0" w:line="263" w:lineRule="exact"/>
              <w:rPr>
                <w:sz w:val="20"/>
                <w:szCs w:val="20"/>
                <w:color w:val="auto"/>
              </w:rPr>
            </w:pPr>
            <w:r>
              <w:rPr>
                <w:rFonts w:ascii="Arial" w:cs="Arial" w:eastAsia="Arial" w:hAnsi="Arial"/>
                <w:sz w:val="18"/>
                <w:szCs w:val="18"/>
                <w:color w:val="auto"/>
              </w:rPr>
              <w:t>Reason</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within two (2) years of a Change of Control</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1,034,614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38,665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1,673,280</w:t>
            </w:r>
          </w:p>
        </w:tc>
      </w:tr>
      <w:tr>
        <w:trPr>
          <w:trHeight w:val="216"/>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Death or Disability</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1,034,614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38,665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1,073,280</w:t>
            </w:r>
          </w:p>
        </w:tc>
      </w:tr>
      <w:tr>
        <w:trPr>
          <w:trHeight w:val="208"/>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Mr. Crosby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40" w:type="dxa"/>
            <w:vAlign w:val="bottom"/>
            <w:gridSpan w:val="2"/>
          </w:tcPr>
          <w:p>
            <w:pPr>
              <w:ind w:left="180"/>
              <w:spacing w:after="0"/>
              <w:rPr>
                <w:sz w:val="20"/>
                <w:szCs w:val="20"/>
                <w:color w:val="auto"/>
              </w:rPr>
            </w:pPr>
            <w:r>
              <w:rPr>
                <w:rFonts w:ascii="Arial" w:cs="Arial" w:eastAsia="Arial" w:hAnsi="Arial"/>
                <w:sz w:val="18"/>
                <w:szCs w:val="18"/>
                <w:color w:val="auto"/>
                <w:w w:val="95"/>
              </w:rPr>
              <w:t>Termination by Company for Cause or by Executive Without Good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40" w:type="dxa"/>
            <w:vAlign w:val="bottom"/>
            <w:gridSpan w:val="2"/>
          </w:tcPr>
          <w:p>
            <w:pPr>
              <w:ind w:left="340"/>
              <w:spacing w:after="0"/>
              <w:rPr>
                <w:sz w:val="20"/>
                <w:szCs w:val="20"/>
                <w:color w:val="auto"/>
              </w:rPr>
            </w:pPr>
            <w:r>
              <w:rPr>
                <w:rFonts w:ascii="Arial" w:cs="Arial" w:eastAsia="Arial" w:hAnsi="Arial"/>
                <w:sz w:val="18"/>
                <w:szCs w:val="18"/>
                <w:color w:val="auto"/>
              </w:rPr>
              <w:t>Reason</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Termination by Company Without Cause</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1,000,000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835,629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45,745</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1,881,374</w:t>
            </w:r>
          </w:p>
        </w:tc>
      </w:tr>
      <w:tr>
        <w:trPr>
          <w:trHeight w:val="217"/>
        </w:trPr>
        <w:tc>
          <w:tcPr>
            <w:tcW w:w="5240" w:type="dxa"/>
            <w:vAlign w:val="bottom"/>
            <w:gridSpan w:val="2"/>
          </w:tcPr>
          <w:p>
            <w:pPr>
              <w:ind w:left="180"/>
              <w:spacing w:after="0"/>
              <w:rPr>
                <w:sz w:val="20"/>
                <w:szCs w:val="20"/>
                <w:color w:val="auto"/>
              </w:rPr>
            </w:pPr>
            <w:r>
              <w:rPr>
                <w:rFonts w:ascii="Arial" w:cs="Arial" w:eastAsia="Arial" w:hAnsi="Arial"/>
                <w:sz w:val="18"/>
                <w:szCs w:val="18"/>
                <w:color w:val="auto"/>
                <w:w w:val="95"/>
              </w:rPr>
              <w:t>Termination by Company Without Cause or by Executive for Good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5"/>
        </w:trPr>
        <w:tc>
          <w:tcPr>
            <w:tcW w:w="5240" w:type="dxa"/>
            <w:vAlign w:val="bottom"/>
            <w:gridSpan w:val="2"/>
          </w:tcPr>
          <w:p>
            <w:pPr>
              <w:ind w:left="340"/>
              <w:spacing w:after="0" w:line="255" w:lineRule="exact"/>
              <w:rPr>
                <w:sz w:val="20"/>
                <w:szCs w:val="20"/>
                <w:color w:val="auto"/>
              </w:rPr>
            </w:pPr>
            <w:r>
              <w:rPr>
                <w:rFonts w:ascii="Arial" w:cs="Arial" w:eastAsia="Arial" w:hAnsi="Arial"/>
                <w:sz w:val="18"/>
                <w:szCs w:val="18"/>
                <w:color w:val="auto"/>
              </w:rPr>
              <w:t>Reason</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within two (2) years of a Change of Control</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1,000,000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985,629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45,745</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2,031,374</w:t>
            </w:r>
          </w:p>
        </w:tc>
      </w:tr>
      <w:tr>
        <w:trPr>
          <w:trHeight w:val="223"/>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Death or Disability</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985,629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45,745</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1,031,374</w:t>
            </w:r>
          </w:p>
        </w:tc>
      </w:tr>
      <w:tr>
        <w:trPr>
          <w:trHeight w:val="217"/>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Mr. Rau</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Termination by Company for Cause or by Executive Without Good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5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Reason</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8"/>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Termination by Company Without Cause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1,200,000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1,147,948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45,745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2,393,693</w:t>
            </w:r>
          </w:p>
        </w:tc>
      </w:tr>
      <w:tr>
        <w:trPr>
          <w:trHeight w:val="20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Termination by Company Without Cause or by Executive for Good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4"/>
        </w:trPr>
        <w:tc>
          <w:tcPr>
            <w:tcW w:w="5240" w:type="dxa"/>
            <w:vAlign w:val="bottom"/>
            <w:gridSpan w:val="2"/>
            <w:shd w:val="clear" w:color="auto" w:fill="CCEEFF"/>
          </w:tcPr>
          <w:p>
            <w:pPr>
              <w:ind w:left="340"/>
              <w:spacing w:after="0" w:line="263" w:lineRule="exact"/>
              <w:rPr>
                <w:sz w:val="20"/>
                <w:szCs w:val="20"/>
                <w:color w:val="auto"/>
              </w:rPr>
            </w:pPr>
            <w:r>
              <w:rPr>
                <w:rFonts w:ascii="Arial" w:cs="Arial" w:eastAsia="Arial" w:hAnsi="Arial"/>
                <w:sz w:val="18"/>
                <w:szCs w:val="18"/>
                <w:color w:val="auto"/>
              </w:rPr>
              <w:t>Reason</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within two (2) years of a Change of Control</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1,200,000</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1,366,130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45,745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2,611,875</w:t>
            </w:r>
          </w:p>
        </w:tc>
      </w:tr>
      <w:tr>
        <w:trPr>
          <w:trHeight w:val="216"/>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Death or Disability</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1,366,130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45,745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1,411,875</w:t>
            </w:r>
          </w:p>
        </w:tc>
      </w:tr>
      <w:tr>
        <w:trPr>
          <w:trHeight w:val="108"/>
        </w:trPr>
        <w:tc>
          <w:tcPr>
            <w:tcW w:w="266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49"/>
        <w:spacing w:after="0"/>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amounts in this column are the severance payments payable to our NEOs upon the occurrence of the relevant event. For</w:t>
      </w:r>
    </w:p>
    <w:p>
      <w:pPr>
        <w:spacing w:after="0" w:line="38" w:lineRule="exact"/>
        <w:rPr>
          <w:rFonts w:ascii="Arial" w:cs="Arial" w:eastAsia="Arial" w:hAnsi="Arial"/>
          <w:sz w:val="16"/>
          <w:szCs w:val="16"/>
          <w:color w:val="auto"/>
        </w:rPr>
      </w:pPr>
    </w:p>
    <w:p>
      <w:pPr>
        <w:ind w:left="1680" w:right="60"/>
        <w:spacing w:after="0" w:line="260" w:lineRule="auto"/>
        <w:rPr>
          <w:rFonts w:ascii="Arial" w:cs="Arial" w:eastAsia="Arial" w:hAnsi="Arial"/>
          <w:sz w:val="16"/>
          <w:szCs w:val="16"/>
          <w:color w:val="auto"/>
        </w:rPr>
      </w:pPr>
      <w:r>
        <w:rPr>
          <w:rFonts w:ascii="Arial" w:cs="Arial" w:eastAsia="Arial" w:hAnsi="Arial"/>
          <w:sz w:val="18"/>
          <w:szCs w:val="18"/>
          <w:color w:val="auto"/>
        </w:rPr>
        <w:t>Messrs. Birns, Smith, Crosby and Rau, this represents a severance payment equal to a multiple of their base salary as of the termination date (based on their actual salary as of December 31, 2019), payable over a 24-month period.</w:t>
      </w:r>
    </w:p>
    <w:p>
      <w:pPr>
        <w:spacing w:after="0" w:line="220" w:lineRule="exact"/>
        <w:rPr>
          <w:rFonts w:ascii="Arial" w:cs="Arial" w:eastAsia="Arial" w:hAnsi="Arial"/>
          <w:sz w:val="16"/>
          <w:szCs w:val="16"/>
          <w:color w:val="auto"/>
        </w:rPr>
      </w:pPr>
    </w:p>
    <w:p>
      <w:pPr>
        <w:ind w:left="1680" w:right="40" w:hanging="549"/>
        <w:spacing w:after="0" w:line="294" w:lineRule="auto"/>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amounts in this column are the bonuses payable to the executive, prorated through the date of termination. Amounts are paid when, and to the extent that, they would have been paid had the executive's employment not terminated. For Messrs. Kasbar and Birns, this amount reflects the amounts earned by the executive for the year-ended December 31, 2019. For Messrs. Smith, Crosby, and Rau this amount reflects the amounts earned by the executive for the year-ended December 31, 2019, other than any bonuses that may be earned based on achievement of non-financial objectives, which are payable at</w:t>
      </w:r>
    </w:p>
    <w:p>
      <w:pPr>
        <w:spacing w:after="0" w:line="163"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460"/>
        <w:spacing w:after="0" w:line="268" w:lineRule="auto"/>
        <w:rPr>
          <w:sz w:val="20"/>
          <w:szCs w:val="20"/>
          <w:color w:val="auto"/>
        </w:rPr>
      </w:pPr>
      <w:r>
        <w:rPr>
          <w:rFonts w:ascii="Arial" w:cs="Arial" w:eastAsia="Arial" w:hAnsi="Arial"/>
          <w:sz w:val="18"/>
          <w:szCs w:val="18"/>
          <w:color w:val="auto"/>
        </w:rPr>
        <w:t>target only in the case of Death or Disability or upon a Termination without Cause or for Good Reason within the two-year period following a Change of Control.</w:t>
      </w:r>
    </w:p>
    <w:p>
      <w:pPr>
        <w:spacing w:after="0" w:line="199" w:lineRule="exact"/>
        <w:rPr>
          <w:sz w:val="20"/>
          <w:szCs w:val="20"/>
          <w:color w:val="auto"/>
        </w:rPr>
      </w:pPr>
    </w:p>
    <w:p>
      <w:pPr>
        <w:ind w:left="1680" w:right="260" w:hanging="549"/>
        <w:spacing w:after="0" w:line="254"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executive is entitled to receive continuation of his medical benefits generally for 18 months following the date of termination. This column reflects the current cost of COBRA premiums for such period and for purposes of this table, we have assumed the maximum premiums would be paid. Mr. Kasbar is also entitled to be reimbursed for the cost of obtaining comparable private health insurance coverage until the age of 65 up to a maximum of $150,000. Mr. Kasbar will turn 65 in 2021 and therefore his amount only reflects the cost of COBRA premiums until such time.</w:t>
      </w:r>
    </w:p>
    <w:p>
      <w:pPr>
        <w:spacing w:after="0" w:line="227" w:lineRule="exact"/>
        <w:rPr>
          <w:rFonts w:ascii="Arial" w:cs="Arial" w:eastAsia="Arial" w:hAnsi="Arial"/>
          <w:sz w:val="18"/>
          <w:szCs w:val="18"/>
          <w:color w:val="auto"/>
        </w:rPr>
      </w:pPr>
    </w:p>
    <w:p>
      <w:pPr>
        <w:ind w:left="1680" w:right="80" w:hanging="549"/>
        <w:spacing w:after="0" w:line="290" w:lineRule="auto"/>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totals in this column do not include (i) additional amounts payable to the executive under the Company's other employment programs that are applicable to all employees and (ii) any amounts that may be realized upon acceleration of outstanding equity to the extent that such executive is terminated, including after a change in control. Specifically, in accordance with the Company's policies, upon any termination, all employees are entitled to certain accrued obligations including salary earned through the date of termination, unreimbursed business expenses incurred in accordance with Company policy and a payment for unused paid time off. In addition, Mr. Kasbar is entitled to receive his non-qualified deferred compensation from a previously earned bonus upon any separation from us. Please see "Non-Qualified Deferred Compensation" table beginning on page 60 for an explanation of this amount.</w:t>
      </w:r>
    </w:p>
    <w:p>
      <w:pPr>
        <w:spacing w:after="0" w:line="185" w:lineRule="exact"/>
        <w:rPr>
          <w:rFonts w:ascii="Arial" w:cs="Arial" w:eastAsia="Arial" w:hAnsi="Arial"/>
          <w:sz w:val="16"/>
          <w:szCs w:val="16"/>
          <w:color w:val="auto"/>
        </w:rPr>
      </w:pPr>
    </w:p>
    <w:p>
      <w:pPr>
        <w:ind w:left="1680" w:right="40" w:hanging="549"/>
        <w:spacing w:after="0" w:line="268"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Mr. Kasbar's employment agreement is not renewed at the end of its term, Mr. Kasbar is entitled to the same amount of payments and benefits as if he were terminated without Cause.</w:t>
      </w:r>
    </w:p>
    <w:p>
      <w:pPr>
        <w:spacing w:after="0" w:line="199" w:lineRule="exact"/>
        <w:rPr>
          <w:rFonts w:ascii="Arial" w:cs="Arial" w:eastAsia="Arial" w:hAnsi="Arial"/>
          <w:sz w:val="18"/>
          <w:szCs w:val="18"/>
          <w:color w:val="auto"/>
        </w:rPr>
      </w:pPr>
    </w:p>
    <w:p>
      <w:pPr>
        <w:ind w:left="1680" w:right="120" w:hanging="549"/>
        <w:spacing w:after="0" w:line="259"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discussed above, our ESP defines "Good Reason" to have occurred only if certain events have happened within two years after a Change of Control has occurred. Consequently, for Messrs. Smith, Crosby, and Rau, any termination by him of his employment absent a Change of Control will be deemed a Termination without Good Reason.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Equity Treatment</w:t>
      </w:r>
    </w:p>
    <w:p>
      <w:pPr>
        <w:spacing w:after="0" w:line="225" w:lineRule="exact"/>
        <w:rPr>
          <w:sz w:val="20"/>
          <w:szCs w:val="20"/>
          <w:color w:val="auto"/>
        </w:rPr>
      </w:pPr>
    </w:p>
    <w:p>
      <w:pPr>
        <w:ind w:right="20" w:firstLine="614"/>
        <w:spacing w:after="0" w:line="302" w:lineRule="auto"/>
        <w:rPr>
          <w:sz w:val="20"/>
          <w:szCs w:val="20"/>
          <w:color w:val="auto"/>
        </w:rPr>
      </w:pPr>
      <w:r>
        <w:rPr>
          <w:rFonts w:ascii="Arial" w:cs="Arial" w:eastAsia="Arial" w:hAnsi="Arial"/>
          <w:sz w:val="15"/>
          <w:szCs w:val="15"/>
          <w:color w:val="auto"/>
        </w:rPr>
        <w:t>Our outstanding equity awards are subject to a "double trigger" in the event of a Change of Control where the awards are replaced or substituted by the acquiror. Consequently, in addition to the amounts set forth in the table above, outstanding equity held by each of the NEOs would only accelerate to the extent that such executive was terminated in the two years following a Change of Control. Specifically, (i) our outstanding service-based SSARs would vest and be exercisable until the earlier of (a) two years plus 90 days following the termination date or (b) the expiration date, (ii) our service-based RSUs would vest and</w:t>
      </w:r>
    </w:p>
    <w:p>
      <w:pPr>
        <w:spacing w:after="0" w:line="2" w:lineRule="exact"/>
        <w:rPr>
          <w:sz w:val="20"/>
          <w:szCs w:val="20"/>
          <w:color w:val="auto"/>
        </w:rPr>
      </w:pPr>
    </w:p>
    <w:p>
      <w:pPr>
        <w:ind w:right="40" w:firstLine="8"/>
        <w:spacing w:after="0" w:line="295" w:lineRule="auto"/>
        <w:tabs>
          <w:tab w:leader="none" w:pos="307"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outstanding RSUs and SSARs granted under the PSP would vest at either target or actual, as determined by the Committee, depending on the date of termination. The PSP SSARs are thereafter exercisable until the earlier of: (a) one year after the termination date, or (b) the expiration date. With respect to any of the SSARs that vest as set forth above, the executive would be entitled to receive shares with a value equal to the difference between the conversion price of the SSAR, which ranges from $27.52 and $57.48, and the closing price of our common stock on the date of exercise.</w:t>
      </w:r>
    </w:p>
    <w:p>
      <w:pPr>
        <w:spacing w:after="0" w:line="169" w:lineRule="exact"/>
        <w:rPr>
          <w:sz w:val="20"/>
          <w:szCs w:val="20"/>
          <w:color w:val="auto"/>
        </w:rPr>
      </w:pPr>
    </w:p>
    <w:p>
      <w:pPr>
        <w:jc w:val="both"/>
        <w:ind w:right="20" w:firstLine="614"/>
        <w:spacing w:after="0" w:line="306" w:lineRule="auto"/>
        <w:rPr>
          <w:sz w:val="20"/>
          <w:szCs w:val="20"/>
          <w:color w:val="auto"/>
        </w:rPr>
      </w:pPr>
      <w:r>
        <w:rPr>
          <w:rFonts w:ascii="Arial" w:cs="Arial" w:eastAsia="Arial" w:hAnsi="Arial"/>
          <w:sz w:val="16"/>
          <w:szCs w:val="16"/>
          <w:color w:val="auto"/>
        </w:rPr>
        <w:t>Our equity award agreements further provide that the outstanding equity awards held by our NEOs will pro-rata accelerate upon a Termination without Cause or upon death or disability. In addition, Mr. Kasbar's employment agreement provides that, in addition to the conditions for acceleration set forth above, the outstanding equity held by Mr. Kasbar will accelerate upon a Termination with Good Reason or upon the non-renewal of his employment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CEO Pay Ratio</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median annual total compensation of our employees and the annual total compensation of our Chief Executive Officer, Michael J. Kasbar.</w:t>
      </w:r>
    </w:p>
    <w:p>
      <w:pPr>
        <w:spacing w:after="0" w:line="2"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December 31, 2017, our employee population consisted of approximately 5,225 individuals working at the Company and our subsidiaries, of which approximately 2,501 were located in the U.S. (and approximately 2,724 were located outside the U.S.). We selected December 31, 2017, the last day of our fiscal year, as the determination date for identifying the median employee. In connection with this analysis, we excluded 49 employees, which were all of our employees located in Sweden.</w:t>
      </w:r>
    </w:p>
    <w:p>
      <w:pPr>
        <w:spacing w:after="0" w:line="19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2017, we identified the median employee by calculating the amount of annual total cash compensation (salary plus bonus, commissions, and the portion of long-term cash awards paid in 2017) paid to all of our employees (other than our CEO). We did not make any cost-of-living or other adjustments in identifying the median employee. Based on this methodology, the median employee in 2017 was a full-time, salaried employee in the U.S.</w:t>
      </w:r>
    </w:p>
    <w:p>
      <w:pPr>
        <w:spacing w:after="0" w:line="160"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There have been no material changes in our employee population or employee compensation arrangements in that would significantly impact the process that we used to identify the median employee for the 2017 compensation. However, the median employee identified for 2017 was not employed by us on December 31, 2019. Therefore, as permitted by the SEC rules, we replaced the 2017 median employee's compensation with that of another employee whose compensation was substantially similar to that of the 2017 median employee. For 2019, the median employee is also a full-time, salaried employee in the U.S.</w:t>
      </w:r>
    </w:p>
    <w:p>
      <w:pPr>
        <w:spacing w:after="0" w:line="15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Once we identified our 2019 median employee, we then calculated the 2019 annual total compensation for such employee in accordance with the requirements of the executive compensation rules for the Summary Compensation Table (Item 402(c)(2)(x) of Regulation S-K). Under this calculation, the median employee's annual total compensation in 2019 was $59,716. With respect to the annual total compensation of our CEO, we used the amount reported in the "Total" column of the Summary Compensation Table included in this proxy statement. The resulting ratio of the annual total compensation of our CEO to the annual total compensation of the median employee was 119 to 1.</w:t>
      </w:r>
    </w:p>
    <w:p>
      <w:pPr>
        <w:spacing w:after="0" w:line="2"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0048E0"/>
        </w:rPr>
        <w:t>VI.</w:t>
      </w:r>
      <w:r>
        <w:rPr>
          <w:sz w:val="20"/>
          <w:szCs w:val="20"/>
          <w:color w:val="auto"/>
        </w:rPr>
        <w:tab/>
      </w:r>
      <w:r>
        <w:rPr>
          <w:rFonts w:ascii="Arial" w:cs="Arial" w:eastAsia="Arial" w:hAnsi="Arial"/>
          <w:sz w:val="18"/>
          <w:szCs w:val="18"/>
          <w:b w:val="1"/>
          <w:bCs w:val="1"/>
          <w:color w:val="0048E0"/>
        </w:rPr>
        <w:t>PROPOSAL NO. 2—NON-BINDING,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Introduction</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recognizes that executive compensation is an important matter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-125730</wp:posOffset>
            </wp:positionV>
            <wp:extent cx="1645920" cy="1911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645920" cy="1911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guiding principles of our executive compensation philosophy and practice continue to be to:</w:t>
      </w:r>
    </w:p>
    <w:p>
      <w:pPr>
        <w:spacing w:after="0" w:line="9" w:lineRule="exact"/>
        <w:rPr>
          <w:sz w:val="20"/>
          <w:szCs w:val="20"/>
          <w:color w:val="auto"/>
        </w:rPr>
      </w:pPr>
    </w:p>
    <w:p>
      <w:pPr>
        <w:ind w:right="4060" w:firstLine="8"/>
        <w:spacing w:after="0" w:line="253" w:lineRule="auto"/>
        <w:tabs>
          <w:tab w:leader="none" w:pos="2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attract, motivate and retain the exceptional management talent required to achieve above average growth and profitability, (ii) focus on rewarding the types of performance that increase shareholder value, (iii) link executive compensation to our long-term strategic objectives and (iv) align executives' interests with those of our shareholders.</w:t>
      </w:r>
    </w:p>
    <w:p>
      <w:pPr>
        <w:spacing w:after="0" w:line="201" w:lineRule="exact"/>
        <w:rPr>
          <w:sz w:val="20"/>
          <w:szCs w:val="20"/>
          <w:color w:val="auto"/>
        </w:rPr>
      </w:pPr>
    </w:p>
    <w:p>
      <w:pPr>
        <w:ind w:right="4080" w:firstLine="439"/>
        <w:spacing w:after="0" w:line="288" w:lineRule="auto"/>
        <w:rPr>
          <w:sz w:val="20"/>
          <w:szCs w:val="20"/>
          <w:color w:val="auto"/>
        </w:rPr>
      </w:pPr>
      <w:r>
        <w:rPr>
          <w:rFonts w:ascii="Arial" w:cs="Arial" w:eastAsia="Arial" w:hAnsi="Arial"/>
          <w:sz w:val="16"/>
          <w:szCs w:val="16"/>
          <w:color w:val="auto"/>
        </w:rPr>
        <w:t>Pursuant to amendments to Section 14A of the Exchange Act, we are asking our shareholders to vote to approve or not approve, on an advisory basis, the executive compensation philosophy, policies and procedures described in the Compensation Discussion and Analysis section beginning on page 36 of this proxy statement, and the compensation of our NEOs, as disclosed in this proxy statement. As an advisory vote, the results of this vote will not be binding on us, our Board or the Compensation Committee. However, our Board and Compensation Committee value the opinions of our shareholders, and will consider the outcome of this vote when making future decisions on the compensation of our NEOs and evaluating our executive compensation principles, policies and procedures.</w:t>
      </w:r>
    </w:p>
    <w:p>
      <w:pPr>
        <w:spacing w:after="0" w:line="173" w:lineRule="exact"/>
        <w:rPr>
          <w:sz w:val="20"/>
          <w:szCs w:val="20"/>
          <w:color w:val="auto"/>
        </w:rPr>
      </w:pPr>
    </w:p>
    <w:p>
      <w:pPr>
        <w:ind w:right="180" w:firstLine="611"/>
        <w:spacing w:after="0" w:line="268" w:lineRule="auto"/>
        <w:rPr>
          <w:sz w:val="20"/>
          <w:szCs w:val="20"/>
          <w:color w:val="auto"/>
        </w:rPr>
      </w:pPr>
      <w:r>
        <w:rPr>
          <w:rFonts w:ascii="Arial" w:cs="Arial" w:eastAsia="Arial" w:hAnsi="Arial"/>
          <w:sz w:val="18"/>
          <w:szCs w:val="18"/>
          <w:color w:val="auto"/>
        </w:rPr>
        <w:t>The Board believes that our executive compensation programs follow the guiding principles stated above. In order to align the interests of our senior executives with those of our shareholders, our executive compensation framework emphasizes the following:</w:t>
      </w:r>
    </w:p>
    <w:p>
      <w:pPr>
        <w:spacing w:after="0" w:line="199" w:lineRule="exact"/>
        <w:rPr>
          <w:sz w:val="20"/>
          <w:szCs w:val="20"/>
          <w:color w:val="auto"/>
        </w:rPr>
      </w:pPr>
    </w:p>
    <w:p>
      <w:pPr>
        <w:ind w:left="1080" w:right="2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Total compensation is tied to performance. </w:t>
      </w:r>
      <w:r>
        <w:rPr>
          <w:rFonts w:ascii="Arial" w:cs="Arial" w:eastAsia="Arial" w:hAnsi="Arial"/>
          <w:sz w:val="18"/>
          <w:szCs w:val="18"/>
          <w:color w:val="auto"/>
        </w:rPr>
        <w:t>The majority of total executive compensation is variable and delivered on a pay-for-performance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basis.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Long-term equity compensation aligns executives' and shareholders' interests. </w:t>
      </w:r>
      <w:r>
        <w:rPr>
          <w:rFonts w:ascii="Arial" w:cs="Arial" w:eastAsia="Arial" w:hAnsi="Arial"/>
          <w:sz w:val="18"/>
          <w:szCs w:val="18"/>
          <w:color w:val="auto"/>
        </w:rPr>
        <w:t>Our NEOs receive equity awards, which generally have multi-year vesting requirements.</w:t>
      </w:r>
    </w:p>
    <w:p>
      <w:pPr>
        <w:spacing w:after="0" w:line="186" w:lineRule="exact"/>
        <w:rPr>
          <w:sz w:val="20"/>
          <w:szCs w:val="20"/>
          <w:color w:val="auto"/>
        </w:rPr>
      </w:pPr>
    </w:p>
    <w:p>
      <w:pPr>
        <w:ind w:right="120" w:firstLine="611"/>
        <w:spacing w:after="0" w:line="259" w:lineRule="auto"/>
        <w:rPr>
          <w:sz w:val="20"/>
          <w:szCs w:val="20"/>
          <w:color w:val="auto"/>
        </w:rPr>
      </w:pPr>
      <w:r>
        <w:rPr>
          <w:rFonts w:ascii="Arial" w:cs="Arial" w:eastAsia="Arial" w:hAnsi="Arial"/>
          <w:sz w:val="18"/>
          <w:szCs w:val="18"/>
          <w:color w:val="auto"/>
        </w:rPr>
        <w:t>This framework has resulted in compensation for our NEOs that is commensurate with our financial results, as demonstrated by the higher payouts in 2019 as compared to the previous year. Accordingly, we are asking our shareholders to vote, in an advisory manner, "FOR" the adoption of the following resolution:</w:t>
      </w:r>
    </w:p>
    <w:p>
      <w:pPr>
        <w:spacing w:after="0" w:line="194" w:lineRule="exact"/>
        <w:rPr>
          <w:sz w:val="20"/>
          <w:szCs w:val="20"/>
          <w:color w:val="auto"/>
        </w:rPr>
      </w:pPr>
    </w:p>
    <w:p>
      <w:pPr>
        <w:ind w:right="320" w:firstLine="614"/>
        <w:spacing w:after="0" w:line="268" w:lineRule="auto"/>
        <w:rPr>
          <w:sz w:val="20"/>
          <w:szCs w:val="20"/>
          <w:color w:val="auto"/>
        </w:rPr>
      </w:pPr>
      <w:r>
        <w:rPr>
          <w:rFonts w:ascii="Arial" w:cs="Arial" w:eastAsia="Arial" w:hAnsi="Arial"/>
          <w:sz w:val="18"/>
          <w:szCs w:val="18"/>
          <w:color w:val="auto"/>
        </w:rPr>
        <w:t>"RESOLVED, that the compensation paid to our NEOs, as disclosed in this proxy statement pursuant to Item 402 of Regulation S-K, including the Compensation Discussion and Analysis, compensation tables and narrative discussion above is hereby APPROVED."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Vote Required</w:t>
      </w:r>
    </w:p>
    <w:p>
      <w:pPr>
        <w:spacing w:after="0" w:line="231" w:lineRule="exact"/>
        <w:rPr>
          <w:sz w:val="20"/>
          <w:szCs w:val="20"/>
          <w:color w:val="auto"/>
        </w:rPr>
      </w:pPr>
    </w:p>
    <w:p>
      <w:pPr>
        <w:ind w:right="640" w:firstLine="611"/>
        <w:spacing w:after="0" w:line="268" w:lineRule="auto"/>
        <w:rPr>
          <w:sz w:val="20"/>
          <w:szCs w:val="20"/>
          <w:color w:val="auto"/>
        </w:rPr>
      </w:pPr>
      <w:r>
        <w:rPr>
          <w:rFonts w:ascii="Arial" w:cs="Arial" w:eastAsia="Arial" w:hAnsi="Arial"/>
          <w:sz w:val="18"/>
          <w:szCs w:val="18"/>
          <w:color w:val="auto"/>
        </w:rPr>
        <w:t>The affirmative vote of a majority of the votes cast on the proposal is required for the approval of the non-binding, advisory vote on executive compensation.</w:t>
      </w:r>
    </w:p>
    <w:p>
      <w:pPr>
        <w:spacing w:after="0" w:line="180" w:lineRule="exact"/>
        <w:rPr>
          <w:sz w:val="20"/>
          <w:szCs w:val="20"/>
          <w:color w:val="auto"/>
        </w:rPr>
      </w:pPr>
    </w:p>
    <w:p>
      <w:pPr>
        <w:jc w:val="center"/>
        <w:ind w:left="340" w:right="200"/>
        <w:spacing w:after="0" w:line="258" w:lineRule="auto"/>
        <w:rPr>
          <w:sz w:val="20"/>
          <w:szCs w:val="20"/>
          <w:color w:val="auto"/>
        </w:rPr>
      </w:pPr>
      <w:r>
        <w:rPr>
          <w:rFonts w:ascii="Arial" w:cs="Arial" w:eastAsia="Arial" w:hAnsi="Arial"/>
          <w:sz w:val="18"/>
          <w:szCs w:val="18"/>
          <w:b w:val="1"/>
          <w:bCs w:val="1"/>
          <w:color w:val="auto"/>
        </w:rPr>
        <w:t>THE BOARD OF DIRECTORS UNANIMOUSLY RECOMMENDS A VOTE "FOR" THE APPROVAL OF THE COMPENSATION PAID TO OUR NEOS, AS DISCLOSED PURSUANT TO ITEM 402 OF REGULATION S-K, INCLUDING THE COMPENSATION DISCUSSION AND ANALYSIS, COMPENSATION TABLES AND NARRATIVE DISCUSSION CONTAINED ABOVE IN THIS PROXY STATEMENT.</w:t>
      </w:r>
    </w:p>
    <w:p>
      <w:pPr>
        <w:spacing w:after="0" w:line="190"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048E0"/>
        </w:rPr>
        <w:t>VII.</w:t>
      </w:r>
      <w:r>
        <w:rPr>
          <w:sz w:val="20"/>
          <w:szCs w:val="20"/>
          <w:color w:val="auto"/>
        </w:rPr>
        <w:tab/>
      </w:r>
      <w:r>
        <w:rPr>
          <w:rFonts w:ascii="Arial" w:cs="Arial" w:eastAsia="Arial" w:hAnsi="Arial"/>
          <w:sz w:val="18"/>
          <w:szCs w:val="18"/>
          <w:b w:val="1"/>
          <w:bCs w:val="1"/>
          <w:color w:val="0048E0"/>
        </w:rPr>
        <w:t>PROPOSAL NO. 3—RATIFICATION OF INDEPENDENT REGISTERED CERTIFIED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Introduction</w:t>
      </w:r>
    </w:p>
    <w:p>
      <w:pPr>
        <w:spacing w:after="0" w:line="231" w:lineRule="exact"/>
        <w:rPr>
          <w:sz w:val="20"/>
          <w:szCs w:val="20"/>
          <w:color w:val="auto"/>
        </w:rPr>
      </w:pPr>
    </w:p>
    <w:p>
      <w:pPr>
        <w:ind w:right="60" w:firstLine="611"/>
        <w:spacing w:after="0" w:line="259" w:lineRule="auto"/>
        <w:rPr>
          <w:sz w:val="20"/>
          <w:szCs w:val="20"/>
          <w:color w:val="auto"/>
        </w:rPr>
      </w:pPr>
      <w:r>
        <w:rPr>
          <w:rFonts w:ascii="Arial" w:cs="Arial" w:eastAsia="Arial" w:hAnsi="Arial"/>
          <w:sz w:val="18"/>
          <w:szCs w:val="18"/>
          <w:color w:val="auto"/>
        </w:rPr>
        <w:t>The Audit Committee appoints, compensates, retains and oversees our auditors. The Committee engages in an annual evaluation of the independent registered certified public accounting firm, or "independent auditor," qualifications, performance and independence and considers the advisability and potential impact of selecting a different independent registered certified public accounting firm.</w:t>
      </w:r>
    </w:p>
    <w:p>
      <w:pPr>
        <w:spacing w:after="0" w:line="194" w:lineRule="exact"/>
        <w:rPr>
          <w:sz w:val="20"/>
          <w:szCs w:val="20"/>
          <w:color w:val="auto"/>
        </w:rPr>
      </w:pPr>
    </w:p>
    <w:p>
      <w:pPr>
        <w:ind w:right="180" w:firstLine="611"/>
        <w:spacing w:after="0" w:line="254" w:lineRule="auto"/>
        <w:rPr>
          <w:sz w:val="20"/>
          <w:szCs w:val="20"/>
          <w:color w:val="auto"/>
        </w:rPr>
      </w:pPr>
      <w:r>
        <w:rPr>
          <w:rFonts w:ascii="Arial" w:cs="Arial" w:eastAsia="Arial" w:hAnsi="Arial"/>
          <w:sz w:val="18"/>
          <w:szCs w:val="18"/>
          <w:color w:val="auto"/>
        </w:rPr>
        <w:t>The Audit Committee has selected PwC to serve as our independent auditor for 2020. In accordance with SEC rules and PwC policies, audit partners are subject to rotation requirements to limit the number of consecutive years an individual partner may provide audit service to us. For lead and concurring review audit partners, the maximum number of consecutive years of service in that capacity is five years. The process for selection of our lead audit partner pursuant to this rotation policy includes meetings between the Chairman and the members of the Audit Committee and the candidates for the role, as well as discussion by the full committee with input from management.</w:t>
      </w:r>
    </w:p>
    <w:p>
      <w:pPr>
        <w:spacing w:after="0" w:line="201" w:lineRule="exact"/>
        <w:rPr>
          <w:sz w:val="20"/>
          <w:szCs w:val="20"/>
          <w:color w:val="auto"/>
        </w:rPr>
      </w:pPr>
    </w:p>
    <w:p>
      <w:pPr>
        <w:ind w:right="60" w:firstLine="611"/>
        <w:spacing w:after="0" w:line="290" w:lineRule="auto"/>
        <w:rPr>
          <w:sz w:val="20"/>
          <w:szCs w:val="20"/>
          <w:color w:val="auto"/>
        </w:rPr>
      </w:pPr>
      <w:r>
        <w:rPr>
          <w:rFonts w:ascii="Arial" w:cs="Arial" w:eastAsia="Arial" w:hAnsi="Arial"/>
          <w:sz w:val="16"/>
          <w:szCs w:val="16"/>
          <w:color w:val="auto"/>
        </w:rPr>
        <w:t>The Audit Committee and the Board believe that the continued retention of PwC as our independent auditor is in our best interests and those of our shareholders, and we are asking our shareholders to ratify the selection of PwC as our independent auditor for 2020. Although the Board is submitting the selection of PwC to our shareholders for ratification, the Audit Committee is not required to take any action as a result of the outcome of the vote on this proposal. If our shareholders do not ratify the selection of PwC as our independent registered certified public accounting firm, other independent registered certified public accounting firms will be considered by our Audit Committee, but the Audit Committee may nonetheless choose to engage PwC. Even if the appointment is ratified, the Audit Committee, in its discretion, may select a different independent registered certified public accounting firm at any time during the year if it determines that such a change would be in the best interest of us and our shareholders.</w:t>
      </w:r>
    </w:p>
    <w:p>
      <w:pPr>
        <w:spacing w:after="0" w:line="172" w:lineRule="exact"/>
        <w:rPr>
          <w:sz w:val="20"/>
          <w:szCs w:val="20"/>
          <w:color w:val="auto"/>
        </w:rPr>
      </w:pPr>
    </w:p>
    <w:p>
      <w:pPr>
        <w:ind w:right="420" w:firstLine="614"/>
        <w:spacing w:after="0" w:line="268" w:lineRule="auto"/>
        <w:rPr>
          <w:sz w:val="20"/>
          <w:szCs w:val="20"/>
          <w:color w:val="auto"/>
        </w:rPr>
      </w:pPr>
      <w:r>
        <w:rPr>
          <w:rFonts w:ascii="Arial" w:cs="Arial" w:eastAsia="Arial" w:hAnsi="Arial"/>
          <w:sz w:val="18"/>
          <w:szCs w:val="18"/>
          <w:color w:val="auto"/>
        </w:rPr>
        <w:t>Representatives of PwC are expected to be present at the Annual Meeting, will have an opportunity to make a statement if they desire and will be available to respond to questions.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Fees and Services of PricewaterhouseCoopers LLP</w:t>
      </w:r>
    </w:p>
    <w:p>
      <w:pPr>
        <w:spacing w:after="0" w:line="231" w:lineRule="exact"/>
        <w:rPr>
          <w:sz w:val="20"/>
          <w:szCs w:val="20"/>
          <w:color w:val="auto"/>
        </w:rPr>
      </w:pPr>
    </w:p>
    <w:p>
      <w:pPr>
        <w:ind w:right="160" w:firstLine="611"/>
        <w:spacing w:after="0" w:line="285" w:lineRule="auto"/>
        <w:rPr>
          <w:sz w:val="20"/>
          <w:szCs w:val="20"/>
          <w:color w:val="auto"/>
        </w:rPr>
      </w:pPr>
      <w:r>
        <w:rPr>
          <w:rFonts w:ascii="Arial" w:cs="Arial" w:eastAsia="Arial" w:hAnsi="Arial"/>
          <w:sz w:val="16"/>
          <w:szCs w:val="16"/>
          <w:color w:val="auto"/>
        </w:rPr>
        <w:t>The following table presents aggregate fees for professional audit services rendered by PwC for the audit of our consolidated financial statements for the fiscal years ended December 31, 2019 and 2018, and fees billed for other services rendered by PwC during those periods.</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0048E0"/>
        </w:rPr>
        <w:t>Services Rendered</w:t>
      </w:r>
    </w:p>
    <w:p>
      <w:pPr>
        <w:spacing w:after="0" w:line="290" w:lineRule="exact"/>
        <w:rPr>
          <w:sz w:val="20"/>
          <w:szCs w:val="20"/>
          <w:color w:val="auto"/>
        </w:rPr>
      </w:pPr>
    </w:p>
    <w:tbl>
      <w:tblPr>
        <w:tblLayout w:type="fixed"/>
        <w:tblInd w:w="112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5"/>
          </w:tcPr>
          <w:p>
            <w:pPr>
              <w:jc w:val="right"/>
              <w:ind w:right="380"/>
              <w:spacing w:after="0"/>
              <w:rPr>
                <w:sz w:val="20"/>
                <w:szCs w:val="20"/>
                <w:color w:val="auto"/>
              </w:rPr>
            </w:pPr>
            <w:r>
              <w:rPr>
                <w:rFonts w:ascii="Arial" w:cs="Arial" w:eastAsia="Arial" w:hAnsi="Arial"/>
                <w:sz w:val="13"/>
                <w:szCs w:val="13"/>
                <w:color w:val="auto"/>
              </w:rPr>
              <w:t>(in millions)</w:t>
            </w:r>
          </w:p>
        </w:tc>
      </w:tr>
      <w:tr>
        <w:trPr>
          <w:trHeight w:val="203"/>
        </w:trPr>
        <w:tc>
          <w:tcPr>
            <w:tcW w:w="26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2019</w:t>
            </w: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7"/>
                <w:szCs w:val="17"/>
                <w:color w:val="auto"/>
              </w:rPr>
            </w:pPr>
          </w:p>
        </w:tc>
      </w:tr>
      <w:tr>
        <w:trPr>
          <w:trHeight w:val="250"/>
        </w:trPr>
        <w:tc>
          <w:tcPr>
            <w:tcW w:w="7600" w:type="dxa"/>
            <w:vAlign w:val="bottom"/>
            <w:gridSpan w:val="2"/>
            <w:shd w:val="clear" w:color="auto" w:fill="CCEEFF"/>
          </w:tcPr>
          <w:p>
            <w:pPr>
              <w:ind w:left="20"/>
              <w:spacing w:after="0" w:line="250"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r>
      <w:tr>
        <w:trPr>
          <w:trHeight w:val="257"/>
        </w:trPr>
        <w:tc>
          <w:tcPr>
            <w:tcW w:w="76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r>
      <w:tr>
        <w:trPr>
          <w:trHeight w:val="257"/>
        </w:trPr>
        <w:tc>
          <w:tcPr>
            <w:tcW w:w="76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r>
      <w:tr>
        <w:trPr>
          <w:trHeight w:val="216"/>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All Other Fees</w:t>
            </w:r>
          </w:p>
        </w:tc>
        <w:tc>
          <w:tcPr>
            <w:tcW w:w="12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26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r>
      <w:tr>
        <w:trPr>
          <w:trHeight w:val="20"/>
        </w:trPr>
        <w:tc>
          <w:tcPr>
            <w:tcW w:w="26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660" w:type="dxa"/>
            <w:vAlign w:val="bottom"/>
            <w:tcBorders>
              <w:bottom w:val="single" w:sz="8" w:color="auto"/>
            </w:tcBorders>
          </w:tcPr>
          <w:p>
            <w:pPr>
              <w:spacing w:after="0"/>
              <w:rPr>
                <w:sz w:val="7"/>
                <w:szCs w:val="7"/>
                <w:color w:val="auto"/>
              </w:rPr>
            </w:pPr>
          </w:p>
        </w:tc>
        <w:tc>
          <w:tcPr>
            <w:tcW w:w="4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40" w:hanging="549"/>
        <w:spacing w:after="0" w:line="298" w:lineRule="auto"/>
        <w:tabs>
          <w:tab w:leader="none" w:pos="16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These amounts represent fees for professional services rendered for the audits of our consolidated financial statements included in our annual report on Form 10-K, reviews of the quarterly consolidated financial statements included in our quarterly reports on Form 10-Q, statutory audits, the assessment of our internal control assertions required by Section 404 of the Sarbanes-Oxley Act of 2002 and other SEC filings and accounting consultations on matters related to the annual audits or interim reviews.</w:t>
      </w:r>
    </w:p>
    <w:p>
      <w:pPr>
        <w:spacing w:after="0" w:line="193" w:lineRule="exact"/>
        <w:rPr>
          <w:rFonts w:ascii="Arial" w:cs="Arial" w:eastAsia="Arial" w:hAnsi="Arial"/>
          <w:sz w:val="16"/>
          <w:szCs w:val="16"/>
          <w:color w:val="auto"/>
        </w:rPr>
      </w:pPr>
    </w:p>
    <w:p>
      <w:pPr>
        <w:ind w:left="1680" w:right="60" w:hanging="549"/>
        <w:spacing w:after="0" w:line="268" w:lineRule="auto"/>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These amounts represent fees for professional services rendered in connection with service organization control reports in each of 2018 and 2019, as well as the implementation of accounting-related software for 2018.</w:t>
      </w:r>
    </w:p>
    <w:p>
      <w:pPr>
        <w:spacing w:after="0" w:line="199" w:lineRule="exact"/>
        <w:rPr>
          <w:rFonts w:ascii="Arial" w:cs="Arial" w:eastAsia="Arial" w:hAnsi="Arial"/>
          <w:sz w:val="18"/>
          <w:szCs w:val="18"/>
          <w:color w:val="auto"/>
        </w:rPr>
      </w:pPr>
    </w:p>
    <w:p>
      <w:pPr>
        <w:ind w:left="1680" w:hanging="549"/>
        <w:spacing w:after="0"/>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amount represents fees for tax consulting and compliance services in our U.S. and non-U.S. locations.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Audit Committee Pre-Approval Policy</w:t>
      </w:r>
    </w:p>
    <w:p>
      <w:pPr>
        <w:spacing w:after="0" w:line="231" w:lineRule="exact"/>
        <w:rPr>
          <w:sz w:val="20"/>
          <w:szCs w:val="20"/>
          <w:color w:val="auto"/>
        </w:rPr>
      </w:pPr>
    </w:p>
    <w:p>
      <w:pPr>
        <w:ind w:firstLine="614"/>
        <w:spacing w:after="0" w:line="287" w:lineRule="auto"/>
        <w:rPr>
          <w:sz w:val="20"/>
          <w:szCs w:val="20"/>
          <w:color w:val="auto"/>
        </w:rPr>
      </w:pPr>
      <w:r>
        <w:rPr>
          <w:rFonts w:ascii="Arial" w:cs="Arial" w:eastAsia="Arial" w:hAnsi="Arial"/>
          <w:sz w:val="16"/>
          <w:szCs w:val="16"/>
          <w:color w:val="auto"/>
        </w:rPr>
        <w:t>Consistent with requirements of the SEC and the Public Company Accounting Oversight Board ("PCAOB") regarding auditor independence, the Audit Committee (i) appoints, (ii) negotiates and sets the compensation of and (iii) oversees the performance of the independent registered public accounting firm. In recognition of this responsibility, the Audit Committee has established a pre-approval policy for all audit and permitted non-audit services performed by our independent auditors to ensure that providing such services does not impair the auditors' independence. There are two types of pre-approval under the policy, general and specific. Under the general type of pre-approval, proposed services are pre-approved on a categorical basis for up to 12 months and must be detailed as to the particular services provided and sufficiently specific and objective so that no judgments by management are required to determine whether a specific service falls within the pre-approved category. The Audit Committee reviews the general pre-approval categories on a periodic basis and approves the fee levels for each category annually. Under the specific type of pre-approval, proposed services, such as the annual audit engagement terms and fees, are approved on a case-by-case basis. Any services that have not been generally pre-approved or that exceed the approved fee levels must be specifically pre-approved. Specific pre-approval must be obtained from the Audit Committee.</w:t>
      </w:r>
    </w:p>
    <w:p>
      <w:pPr>
        <w:spacing w:after="0" w:line="176" w:lineRule="exact"/>
        <w:rPr>
          <w:sz w:val="20"/>
          <w:szCs w:val="20"/>
          <w:color w:val="auto"/>
        </w:rPr>
      </w:pPr>
    </w:p>
    <w:p>
      <w:pPr>
        <w:ind w:firstLine="611"/>
        <w:spacing w:after="0" w:line="251" w:lineRule="auto"/>
        <w:rPr>
          <w:sz w:val="20"/>
          <w:szCs w:val="20"/>
          <w:color w:val="auto"/>
        </w:rPr>
      </w:pPr>
      <w:r>
        <w:rPr>
          <w:rFonts w:ascii="Arial" w:cs="Arial" w:eastAsia="Arial" w:hAnsi="Arial"/>
          <w:sz w:val="18"/>
          <w:szCs w:val="18"/>
          <w:color w:val="auto"/>
        </w:rPr>
        <w:t>The Audit Committee has delegated the authority to the Chairman of the Audit Committee to pre-approve audit and non-audit services to be provided by the independent registered certified public accounting firm so long as such services: (a) involve fees of less than $100,000, and (b) are subsequently reported to and approved by the full Audit Committee at its next scheduled meeting. The Audit Committee approved all services provided by, and all fees paid to, PwC. The Audit Committee has considered the services provided by PwC as described above and has determined that such services are compatible with maintaining PwC's independence.</w:t>
      </w:r>
    </w:p>
    <w:p>
      <w:pPr>
        <w:spacing w:after="0" w:line="4" w:lineRule="exact"/>
        <w:rPr>
          <w:sz w:val="20"/>
          <w:szCs w:val="20"/>
          <w:color w:val="auto"/>
        </w:rPr>
      </w:pPr>
    </w:p>
    <w:p>
      <w:pPr>
        <w:ind w:left="6360"/>
        <w:spacing w:after="0"/>
        <w:tabs>
          <w:tab w:leader="none" w:pos="9060" w:val="left"/>
          <w:tab w:leader="none" w:pos="9300" w:val="left"/>
          <w:tab w:leader="none" w:pos="110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Report of the Audit Committee</w:t>
      </w:r>
    </w:p>
    <w:p>
      <w:pPr>
        <w:spacing w:after="0" w:line="231"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Audit Committee has reviewed and discussed with management and with the independent registered certified public accounting firm the audited consolidated financial statements for the 2019 fiscal year. The Audit Committee has also performed the other reviews and duties set forth in its charter. The Audit Committee discussed with the independent registered certified public accounting firm the matters required to be discussed by Auditing Standard No. 1301, Communication with Audit Committees, as adopted by the PCAOB.</w:t>
      </w:r>
    </w:p>
    <w:p>
      <w:pPr>
        <w:spacing w:after="0" w:line="197" w:lineRule="exact"/>
        <w:rPr>
          <w:sz w:val="20"/>
          <w:szCs w:val="20"/>
          <w:color w:val="auto"/>
        </w:rPr>
      </w:pPr>
    </w:p>
    <w:p>
      <w:pPr>
        <w:ind w:right="140" w:firstLine="605"/>
        <w:spacing w:after="0" w:line="294" w:lineRule="auto"/>
        <w:rPr>
          <w:sz w:val="20"/>
          <w:szCs w:val="20"/>
          <w:color w:val="auto"/>
        </w:rPr>
      </w:pPr>
      <w:r>
        <w:rPr>
          <w:rFonts w:ascii="Arial" w:cs="Arial" w:eastAsia="Arial" w:hAnsi="Arial"/>
          <w:sz w:val="16"/>
          <w:szCs w:val="16"/>
          <w:color w:val="auto"/>
        </w:rPr>
        <w:t>Additionally, the Audit Committee has: (i) received the written disclosures and the letter from the independent registered certified public accounting firm required by the applicable requirements of the PCAOB regarding the independent registered certified public accounting firm's communications with the Audit Committee concerning independence; (ii) considered whether the provision of tax and accounting research and other non-audit services by our independent registered certified public accounting firm is compatible with maintaining their independence; and (iii) discussed with the independent registered certified public accounting firm their independence from us and our management.</w:t>
      </w:r>
    </w:p>
    <w:p>
      <w:pPr>
        <w:spacing w:after="0" w:line="169" w:lineRule="exact"/>
        <w:rPr>
          <w:sz w:val="20"/>
          <w:szCs w:val="20"/>
          <w:color w:val="auto"/>
        </w:rPr>
      </w:pPr>
    </w:p>
    <w:p>
      <w:pPr>
        <w:ind w:right="700" w:firstLine="614"/>
        <w:spacing w:after="0" w:line="331" w:lineRule="auto"/>
        <w:rPr>
          <w:sz w:val="20"/>
          <w:szCs w:val="20"/>
          <w:color w:val="auto"/>
        </w:rPr>
      </w:pPr>
      <w:r>
        <w:rPr>
          <w:rFonts w:ascii="Arial" w:cs="Arial" w:eastAsia="Arial" w:hAnsi="Arial"/>
          <w:sz w:val="16"/>
          <w:szCs w:val="16"/>
          <w:color w:val="auto"/>
        </w:rPr>
        <w:t>In reliance on the foregoing reviews and discussions, the Audit Committee recommended to the Board that the audited consolidated financial statements referred to above be included in our Annual Report on Form 10-K for the 2019 fiscal year for filing with the SEC.</w:t>
      </w:r>
    </w:p>
    <w:p>
      <w:pPr>
        <w:spacing w:after="0" w:line="141" w:lineRule="exact"/>
        <w:rPr>
          <w:sz w:val="20"/>
          <w:szCs w:val="20"/>
          <w:color w:val="auto"/>
        </w:rPr>
      </w:pPr>
    </w:p>
    <w:p>
      <w:pPr>
        <w:ind w:right="40" w:firstLine="614"/>
        <w:spacing w:after="0" w:line="331" w:lineRule="auto"/>
        <w:rPr>
          <w:sz w:val="20"/>
          <w:szCs w:val="20"/>
          <w:color w:val="auto"/>
        </w:rPr>
      </w:pPr>
      <w:r>
        <w:rPr>
          <w:rFonts w:ascii="Arial" w:cs="Arial" w:eastAsia="Arial" w:hAnsi="Arial"/>
          <w:sz w:val="16"/>
          <w:szCs w:val="16"/>
          <w:color w:val="auto"/>
        </w:rPr>
        <w:t>In determining whether to reappoint PwC as our independent registered certified public accounting firm for 2020, the Audit Committee considered the qualifications, performance and independence of the firm and the audit engagement team, together with the following factors:</w:t>
      </w:r>
    </w:p>
    <w:p>
      <w:pPr>
        <w:spacing w:after="0" w:line="154"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PwC's capabilities to handle the breadth and complexity of our global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PwC's familiarity with our industry, accounting policies, financial reporting process, and internal control over financial reporting;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quality and candor of PwC's communications with the Audit Committee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external data on the firm's audit quality and performance, including recent PCAOB reports on PwC and its peer firms;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performance of the lead engagement partner and the other professionals on our account;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appropriateness of PwC's fees based on the scope of activities.</w:t>
      </w:r>
    </w:p>
    <w:p>
      <w:pPr>
        <w:spacing w:after="0" w:line="225" w:lineRule="exact"/>
        <w:rPr>
          <w:sz w:val="20"/>
          <w:szCs w:val="20"/>
          <w:color w:val="auto"/>
        </w:rPr>
      </w:pPr>
    </w:p>
    <w:p>
      <w:pPr>
        <w:ind w:right="220" w:firstLine="614"/>
        <w:spacing w:after="0" w:line="306" w:lineRule="auto"/>
        <w:rPr>
          <w:sz w:val="20"/>
          <w:szCs w:val="20"/>
          <w:color w:val="auto"/>
        </w:rPr>
      </w:pPr>
      <w:r>
        <w:rPr>
          <w:rFonts w:ascii="Arial" w:cs="Arial" w:eastAsia="Arial" w:hAnsi="Arial"/>
          <w:sz w:val="16"/>
          <w:szCs w:val="16"/>
          <w:color w:val="auto"/>
        </w:rPr>
        <w:t>In light of the Audit Committee's views on the performance of PwC, it is the Audit Committee's belief that continuing to retain PwC is in our best interest and those of our shareholders. Consequently, the Audit Committee has appointed PwC as our independent registered certified public accounting firm for fiscal year 2020 and recommends that shareholders ratify the appointment at the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John L. Manley,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Jorge L. Benitez,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A. Kassar, Member</w:t>
      </w:r>
    </w:p>
    <w:p>
      <w:pPr>
        <w:spacing w:after="0" w:line="9"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14"/>
        <w:spacing w:after="0" w:line="259" w:lineRule="auto"/>
        <w:rPr>
          <w:sz w:val="20"/>
          <w:szCs w:val="20"/>
          <w:color w:val="auto"/>
        </w:rPr>
      </w:pPr>
      <w:r>
        <w:rPr>
          <w:rFonts w:ascii="Arial" w:cs="Arial" w:eastAsia="Arial" w:hAnsi="Arial"/>
          <w:sz w:val="18"/>
          <w:szCs w:val="18"/>
          <w:i w:val="1"/>
          <w:iCs w:val="1"/>
          <w:color w:val="auto"/>
        </w:rPr>
        <w:t>Notwithstanding anything to the contrary set forth in any of our previous filings under the Securities Act of 1933, as amended, or the Exchange Act that might incorporate future filings, including this proxy statement, in whole or in part, the Report of the Audit Committee and the Compensation Committee Report above shall not be incorporated by reference into this proxy statement.</w:t>
      </w:r>
    </w:p>
    <w:p>
      <w:pPr>
        <w:spacing w:after="0" w:line="188" w:lineRule="exact"/>
        <w:rPr>
          <w:sz w:val="20"/>
          <w:szCs w:val="20"/>
          <w:color w:val="auto"/>
        </w:rPr>
      </w:pPr>
    </w:p>
    <w:p>
      <w:pPr>
        <w:jc w:val="center"/>
        <w:ind w:left="340" w:right="1740"/>
        <w:spacing w:after="0" w:line="254"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PRICEWATERHOUSECOOPERS LLP AS OUR INDEPENDENT REGISTERED CERTIFIED PUBLIC ACCOUNTING FIRM FOR THE 2020 FISCAL YEAR</w:t>
      </w: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0048E0"/>
        </w:rPr>
        <w:t>VIII.</w:t>
        <w:tab/>
        <w:t>PROPOSAL NO. 4—APPROVAL OF THE 2020 OMNIBUS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right="60" w:firstLine="614"/>
        <w:spacing w:after="0" w:line="298" w:lineRule="auto"/>
        <w:rPr>
          <w:sz w:val="20"/>
          <w:szCs w:val="20"/>
          <w:color w:val="auto"/>
        </w:rPr>
      </w:pPr>
      <w:r>
        <w:rPr>
          <w:rFonts w:ascii="Arial" w:cs="Arial" w:eastAsia="Arial" w:hAnsi="Arial"/>
          <w:sz w:val="16"/>
          <w:szCs w:val="16"/>
          <w:color w:val="auto"/>
        </w:rPr>
        <w:t>On March 12, 2020, the Board approved the adoption of the World Fuel Services Corporation 2020 Omnibus Plan (the "2020 Plan" or the "Plan"), subject to approval by our shareholders. The Board of Directors adopted the 2020 Plan as a flexible omnibus incentive compensation plan that would allow the Company to use different forms of compensation awards to attract new employees, executives and directors, to further the goal of retaining and motivating employees and directors and to further align such individuals' interests with those of our shareholders.</w:t>
      </w:r>
    </w:p>
    <w:p>
      <w:pPr>
        <w:spacing w:after="0" w:line="166" w:lineRule="exact"/>
        <w:rPr>
          <w:sz w:val="20"/>
          <w:szCs w:val="20"/>
          <w:color w:val="auto"/>
        </w:rPr>
      </w:pPr>
    </w:p>
    <w:p>
      <w:pPr>
        <w:ind w:right="20" w:firstLine="611"/>
        <w:spacing w:after="0" w:line="291" w:lineRule="auto"/>
        <w:rPr>
          <w:sz w:val="20"/>
          <w:szCs w:val="20"/>
          <w:color w:val="auto"/>
        </w:rPr>
      </w:pPr>
      <w:r>
        <w:rPr>
          <w:rFonts w:ascii="Arial" w:cs="Arial" w:eastAsia="Arial" w:hAnsi="Arial"/>
          <w:sz w:val="16"/>
          <w:szCs w:val="16"/>
          <w:color w:val="auto"/>
        </w:rPr>
        <w:t>The use of equity as part of our compensation program is important because it fosters a pay-for-performance culture, which is an essential element of our overall compensation philosophy. We believe that equity compensation motivates individuals to create shareholder value since the value they ultimately realize from such compensation is based on our stock performance. As described in greater detail below, the Board believes that the effective use of equity-based compensation and performance-based compensation has been integral to our success in the past and is a key component of our ability to drive strong performance in the future. Accordingly, the Board is seeking shareholder approval of the 2020 Plan. The summary that follows represents the terms of the 2020 Plan in the event it is approved by the shareholders.</w:t>
      </w:r>
    </w:p>
    <w:p>
      <w:pPr>
        <w:spacing w:after="0" w:line="174"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The following information regarding the 2020 Plan is being provided to you in connection with the solicitation of proxies for the approval of the adoption of the 2020 Plan. The following description of the 2020 Plan is a summary only and does not purport to be complete. The summary is qualified in its entirety by reference to the 2020 Plan. The text of the 2020 Plan is attached as Annex A to this proxy statement. You are urged to read the 2020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General Plan Information</w:t>
      </w:r>
    </w:p>
    <w:p>
      <w:pPr>
        <w:spacing w:after="0" w:line="231" w:lineRule="exact"/>
        <w:rPr>
          <w:sz w:val="20"/>
          <w:szCs w:val="20"/>
          <w:color w:val="auto"/>
        </w:rPr>
      </w:pPr>
    </w:p>
    <w:p>
      <w:pPr>
        <w:ind w:right="40" w:firstLine="611"/>
        <w:spacing w:after="0" w:line="286" w:lineRule="auto"/>
        <w:rPr>
          <w:sz w:val="20"/>
          <w:szCs w:val="20"/>
          <w:color w:val="auto"/>
        </w:rPr>
      </w:pPr>
      <w:r>
        <w:rPr>
          <w:rFonts w:ascii="Arial" w:cs="Arial" w:eastAsia="Arial" w:hAnsi="Arial"/>
          <w:sz w:val="16"/>
          <w:szCs w:val="16"/>
          <w:color w:val="auto"/>
        </w:rPr>
        <w:t>The 2020 Plan is intended to replace our 2016 Omnibus Plan (the "2016 Plan"). No new awards will be granted under the 2016 Plan upon approval of the 2020 Plan by our shareholders, however, outstanding awards under the 2016 Plan will continue to be governed by the terms of the 2016 Plan until exercised, settled, expired or otherwise terminated or canceled. If the 2020 Plan is approved, the number of shares of our common stock (the "Stock") that will be available for issuance under the 2020 Plan pursuant to any form of equity awards permitted under the 2020 Plan will be equal to the sum of (a) 1,550,000 shares of Stock plus (b) any shares of Stock remaining available for future awards under the 2016 Plan on the date the 2020 Plan is approved by the Company's shareholders (of which there were 2.4 million shares of Stock remaining available for future awards under the 2016 Plan as of March 30, 2020); plus (c) any shares of Stock with respect to awards that were granted under the 2020 Plan, the 2016 Plan or our 2006 Omnibus Plan (the "2006 Plan" and together with the 2016 Plan, the "Prior Plans") that are forfeited or canceled (e.g., due to the recipient's failure to satisfy applicable service or performance conditions) after the 2020 Plan is approved by the Company's shareholders. However, shares of Stock with respect to awards under the 2020 Plan or the Prior Plans that are withheld or tendered or not issued to the Participant to satisfy tax withholding obligations or to pay the exercise price of an award under the 2020 Plan or any award under a Prior Plan would not become available for issuance pursuant to the 2020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Share Reservation</w:t>
      </w:r>
    </w:p>
    <w:p>
      <w:pPr>
        <w:spacing w:after="0" w:line="225" w:lineRule="exact"/>
        <w:rPr>
          <w:sz w:val="20"/>
          <w:szCs w:val="20"/>
          <w:color w:val="auto"/>
        </w:rPr>
      </w:pPr>
    </w:p>
    <w:p>
      <w:pPr>
        <w:jc w:val="both"/>
        <w:ind w:right="220" w:firstLine="614"/>
        <w:spacing w:after="0" w:line="252" w:lineRule="auto"/>
        <w:rPr>
          <w:sz w:val="20"/>
          <w:szCs w:val="20"/>
          <w:color w:val="auto"/>
        </w:rPr>
      </w:pPr>
      <w:r>
        <w:rPr>
          <w:rFonts w:ascii="Arial" w:cs="Arial" w:eastAsia="Arial" w:hAnsi="Arial"/>
          <w:sz w:val="18"/>
          <w:szCs w:val="18"/>
          <w:color w:val="auto"/>
        </w:rPr>
        <w:t>In its determination to recommend that the Board approve the 2020 Plan, the Compensation Committee reviewed a summary of the 2020 Plan terms and the share usage, overhang and dilution metrics set forth below, as well as market practices and trends and the cost of the 2020 Plan. The following table summarizes the number of shares (in millions) that were authorized for issuance related</w:t>
      </w:r>
    </w:p>
    <w:p>
      <w:pPr>
        <w:spacing w:after="0" w:line="2"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outstanding awards under the Prior Plans and available for future awards under the 2016 Plan as of March 30, 2020 (in millions).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0" w:type="dxa"/>
            <w:vAlign w:val="bottom"/>
            <w:gridSpan w:val="2"/>
          </w:tcPr>
          <w:p>
            <w:pPr>
              <w:jc w:val="center"/>
              <w:ind w:right="1340"/>
              <w:spacing w:after="0"/>
              <w:rPr>
                <w:sz w:val="20"/>
                <w:szCs w:val="20"/>
                <w:color w:val="auto"/>
              </w:rPr>
            </w:pPr>
            <w:r>
              <w:rPr>
                <w:rFonts w:ascii="Arial" w:cs="Arial" w:eastAsia="Arial" w:hAnsi="Arial"/>
                <w:sz w:val="13"/>
                <w:szCs w:val="13"/>
                <w:b w:val="1"/>
                <w:bCs w:val="1"/>
                <w:color w:val="auto"/>
                <w:w w:val="93"/>
              </w:rPr>
              <w:t>Shares Remaining</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1"/>
              </w:rPr>
              <w:t>Shares Subject to</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2"/>
          </w:tcPr>
          <w:p>
            <w:pPr>
              <w:jc w:val="center"/>
              <w:ind w:right="1440"/>
              <w:spacing w:after="0"/>
              <w:rPr>
                <w:sz w:val="20"/>
                <w:szCs w:val="20"/>
                <w:color w:val="auto"/>
              </w:rPr>
            </w:pPr>
            <w:r>
              <w:rPr>
                <w:rFonts w:ascii="Arial" w:cs="Arial" w:eastAsia="Arial" w:hAnsi="Arial"/>
                <w:sz w:val="13"/>
                <w:szCs w:val="13"/>
                <w:b w:val="1"/>
                <w:bCs w:val="1"/>
                <w:color w:val="auto"/>
                <w:w w:val="91"/>
              </w:rPr>
              <w:t>Shares Subject to</w:t>
            </w:r>
          </w:p>
        </w:tc>
        <w:tc>
          <w:tcPr>
            <w:tcW w:w="3000" w:type="dxa"/>
            <w:vAlign w:val="bottom"/>
            <w:gridSpan w:val="2"/>
          </w:tcPr>
          <w:p>
            <w:pPr>
              <w:jc w:val="center"/>
              <w:ind w:right="1340"/>
              <w:spacing w:after="0"/>
              <w:rPr>
                <w:sz w:val="20"/>
                <w:szCs w:val="20"/>
                <w:color w:val="auto"/>
              </w:rPr>
            </w:pPr>
            <w:r>
              <w:rPr>
                <w:rFonts w:ascii="Arial" w:cs="Arial" w:eastAsia="Arial" w:hAnsi="Arial"/>
                <w:sz w:val="13"/>
                <w:szCs w:val="13"/>
                <w:b w:val="1"/>
                <w:bCs w:val="1"/>
                <w:color w:val="auto"/>
                <w:w w:val="94"/>
              </w:rPr>
              <w:t>Available for</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3"/>
              </w:rPr>
              <w:t>Outstanding</w:t>
            </w:r>
          </w:p>
        </w:tc>
        <w:tc>
          <w:tcPr>
            <w:tcW w:w="1340" w:type="dxa"/>
            <w:vAlign w:val="bottom"/>
          </w:tcPr>
          <w:p>
            <w:pPr>
              <w:spacing w:after="0"/>
              <w:rPr>
                <w:sz w:val="12"/>
                <w:szCs w:val="12"/>
                <w:color w:val="auto"/>
              </w:rPr>
            </w:pPr>
          </w:p>
        </w:tc>
        <w:tc>
          <w:tcPr>
            <w:tcW w:w="2880" w:type="dxa"/>
            <w:vAlign w:val="bottom"/>
            <w:gridSpan w:val="3"/>
          </w:tcPr>
          <w:p>
            <w:pPr>
              <w:jc w:val="center"/>
              <w:ind w:right="1320"/>
              <w:spacing w:after="0"/>
              <w:rPr>
                <w:sz w:val="20"/>
                <w:szCs w:val="20"/>
                <w:color w:val="auto"/>
              </w:rPr>
            </w:pPr>
            <w:r>
              <w:rPr>
                <w:rFonts w:ascii="Arial" w:cs="Arial" w:eastAsia="Arial" w:hAnsi="Arial"/>
                <w:sz w:val="13"/>
                <w:szCs w:val="13"/>
                <w:b w:val="1"/>
                <w:bCs w:val="1"/>
                <w:color w:val="auto"/>
                <w:w w:val="95"/>
              </w:rPr>
              <w:t>Outstanding Full-Value</w:t>
            </w:r>
          </w:p>
        </w:tc>
        <w:tc>
          <w:tcPr>
            <w:tcW w:w="3000" w:type="dxa"/>
            <w:vAlign w:val="bottom"/>
            <w:gridSpan w:val="2"/>
          </w:tcPr>
          <w:p>
            <w:pPr>
              <w:jc w:val="center"/>
              <w:ind w:right="1340"/>
              <w:spacing w:after="0"/>
              <w:rPr>
                <w:sz w:val="20"/>
                <w:szCs w:val="20"/>
                <w:color w:val="auto"/>
              </w:rPr>
            </w:pPr>
            <w:r>
              <w:rPr>
                <w:rFonts w:ascii="Arial" w:cs="Arial" w:eastAsia="Arial" w:hAnsi="Arial"/>
                <w:sz w:val="13"/>
                <w:szCs w:val="13"/>
                <w:b w:val="1"/>
                <w:bCs w:val="1"/>
                <w:color w:val="auto"/>
                <w:w w:val="95"/>
              </w:rPr>
              <w:t>Future Grants under the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2"/>
              </w:rPr>
              <w:t>SSARs/PSSARs</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2"/>
          </w:tcPr>
          <w:p>
            <w:pPr>
              <w:jc w:val="center"/>
              <w:ind w:right="1440"/>
              <w:spacing w:after="0"/>
              <w:rPr>
                <w:sz w:val="20"/>
                <w:szCs w:val="20"/>
                <w:color w:val="auto"/>
              </w:rPr>
            </w:pPr>
            <w:r>
              <w:rPr>
                <w:rFonts w:ascii="Arial" w:cs="Arial" w:eastAsia="Arial" w:hAnsi="Arial"/>
                <w:sz w:val="13"/>
                <w:szCs w:val="13"/>
                <w:b w:val="1"/>
                <w:bCs w:val="1"/>
                <w:color w:val="auto"/>
                <w:w w:val="93"/>
              </w:rPr>
              <w:t>Awards</w:t>
            </w:r>
          </w:p>
        </w:tc>
        <w:tc>
          <w:tcPr>
            <w:tcW w:w="3000" w:type="dxa"/>
            <w:vAlign w:val="bottom"/>
            <w:gridSpan w:val="2"/>
          </w:tcPr>
          <w:p>
            <w:pPr>
              <w:jc w:val="center"/>
              <w:ind w:right="1340"/>
              <w:spacing w:after="0"/>
              <w:rPr>
                <w:sz w:val="20"/>
                <w:szCs w:val="20"/>
                <w:color w:val="auto"/>
              </w:rPr>
            </w:pPr>
            <w:r>
              <w:rPr>
                <w:rFonts w:ascii="Arial" w:cs="Arial" w:eastAsia="Arial" w:hAnsi="Arial"/>
                <w:sz w:val="13"/>
                <w:szCs w:val="13"/>
                <w:b w:val="1"/>
                <w:bCs w:val="1"/>
                <w:color w:val="auto"/>
                <w:w w:val="96"/>
              </w:rPr>
              <w:t>2016 Plan</w:t>
            </w:r>
          </w:p>
        </w:tc>
        <w:tc>
          <w:tcPr>
            <w:tcW w:w="46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r>
      <w:tr>
        <w:trPr>
          <w:trHeight w:val="216"/>
        </w:trPr>
        <w:tc>
          <w:tcPr>
            <w:tcW w:w="1200" w:type="dxa"/>
            <w:vAlign w:val="bottom"/>
            <w:tcBorders>
              <w:top w:val="single" w:sz="8" w:color="auto"/>
            </w:tcBorders>
          </w:tcPr>
          <w:p>
            <w:pPr>
              <w:jc w:val="right"/>
              <w:ind w:right="807"/>
              <w:spacing w:after="0"/>
              <w:rPr>
                <w:sz w:val="20"/>
                <w:szCs w:val="20"/>
                <w:color w:val="auto"/>
              </w:rPr>
            </w:pPr>
            <w:r>
              <w:rPr>
                <w:rFonts w:ascii="Arial" w:cs="Arial" w:eastAsia="Arial" w:hAnsi="Arial"/>
                <w:sz w:val="18"/>
                <w:szCs w:val="18"/>
                <w:color w:val="auto"/>
              </w:rPr>
              <w:t>2.4</w:t>
            </w:r>
          </w:p>
        </w:tc>
        <w:tc>
          <w:tcPr>
            <w:tcW w:w="1340" w:type="dxa"/>
            <w:vAlign w:val="bottom"/>
          </w:tcPr>
          <w:p>
            <w:pPr>
              <w:jc w:val="right"/>
              <w:ind w:right="1107"/>
              <w:spacing w:after="0"/>
              <w:rPr>
                <w:sz w:val="20"/>
                <w:szCs w:val="20"/>
                <w:color w:val="auto"/>
              </w:rPr>
            </w:pPr>
            <w:r>
              <w:rPr>
                <w:rFonts w:ascii="Arial" w:cs="Arial" w:eastAsia="Arial" w:hAnsi="Arial"/>
                <w:sz w:val="15"/>
                <w:szCs w:val="15"/>
                <w:color w:val="auto"/>
                <w:w w:val="76"/>
              </w:rPr>
              <w:t>(1)</w:t>
            </w: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134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36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r>
      <w:tr>
        <w:trPr>
          <w:trHeight w:val="102"/>
        </w:trPr>
        <w:tc>
          <w:tcPr>
            <w:tcW w:w="12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221" w:lineRule="exact"/>
        <w:rPr>
          <w:sz w:val="20"/>
          <w:szCs w:val="20"/>
          <w:color w:val="auto"/>
        </w:rPr>
      </w:pPr>
    </w:p>
    <w:p>
      <w:pPr>
        <w:jc w:val="both"/>
        <w:ind w:left="1680" w:right="800" w:hanging="549"/>
        <w:spacing w:after="0" w:line="306" w:lineRule="auto"/>
        <w:tabs>
          <w:tab w:leader="none" w:pos="16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weighted average exercise price of the stock-settled stock appreciation rights ("SSARs") and performance-based SSARs ("PSSARs") is $29.34 and the weighted average remaining term is 3.2 years. The Company does not have any stock options ("Options"), other SSARs or PSSARs (which are types of stock appreciation rights ("SARs")) outstanding.</w:t>
      </w:r>
    </w:p>
    <w:p>
      <w:pPr>
        <w:spacing w:after="0" w:line="160" w:lineRule="exact"/>
        <w:rPr>
          <w:sz w:val="20"/>
          <w:szCs w:val="20"/>
          <w:color w:val="auto"/>
        </w:rPr>
      </w:pPr>
    </w:p>
    <w:p>
      <w:pPr>
        <w:ind w:right="300" w:firstLine="614"/>
        <w:spacing w:after="0" w:line="259" w:lineRule="auto"/>
        <w:rPr>
          <w:sz w:val="20"/>
          <w:szCs w:val="20"/>
          <w:color w:val="auto"/>
        </w:rPr>
      </w:pPr>
      <w:r>
        <w:rPr>
          <w:rFonts w:ascii="Arial" w:cs="Arial" w:eastAsia="Arial" w:hAnsi="Arial"/>
          <w:sz w:val="18"/>
          <w:szCs w:val="18"/>
          <w:color w:val="auto"/>
        </w:rPr>
        <w:t>Our Board recognizes the impact of dilution on our shareholders and has evaluated this impact carefully in the context of the need to attract, retain, motivate and ensure that our leadership team and key employees are focused on our strategic priorities and their interests are aligned with those of our shareholders. We had approximately 65.5 million shares outstanding as of March 30, 2020.</w:t>
      </w:r>
    </w:p>
    <w:p>
      <w:pPr>
        <w:spacing w:after="0" w:line="194"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aggregate total of 6.4 million shares represents a fully-diluted overhang of approximately 8.9% of our shares of Stock outstanding as of March 30, 2020. If the 2020 Plan is approved, the 1.55 million newly authorized shares requested would increase the overhang to approximately 10.8%. Overhang is calculated as the total of (a) shares underlying outstanding awards plus shares available for issuance under future equity awards, divided by (b) the total number of shares outstanding, shares underlying outstanding awards and shares available for issuance under future equity awards. Our Board believes that the proposed share reserve represents a reasonable amount of potential equity dilution to accommodate our long-term strategic and growth priorities.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Share Usage</w:t>
      </w:r>
    </w:p>
    <w:p>
      <w:pPr>
        <w:spacing w:after="0" w:line="225" w:lineRule="exact"/>
        <w:rPr>
          <w:sz w:val="20"/>
          <w:szCs w:val="20"/>
          <w:color w:val="auto"/>
        </w:rPr>
      </w:pPr>
    </w:p>
    <w:p>
      <w:pPr>
        <w:ind w:right="180" w:firstLine="611"/>
        <w:spacing w:after="0" w:line="254" w:lineRule="auto"/>
        <w:rPr>
          <w:sz w:val="20"/>
          <w:szCs w:val="20"/>
          <w:color w:val="auto"/>
        </w:rPr>
      </w:pPr>
      <w:r>
        <w:rPr>
          <w:rFonts w:ascii="Arial" w:cs="Arial" w:eastAsia="Arial" w:hAnsi="Arial"/>
          <w:sz w:val="18"/>
          <w:szCs w:val="18"/>
          <w:color w:val="auto"/>
        </w:rPr>
        <w:t>We believe we have demonstrated our commitment to sound equity compensation practices. For example, as set forth in the table below, our average three-year burn rate for 2017, 2018 and 2019 is 1.69%. Our average three-year burn rate is calculated as the number of shares granted under the 2016 Plan in each fiscal year, including SSARs, PSSARs, RSAs, RSUs, and performance-based RSUs ("PSUs"), divided by the weighted average common shares outstanding. Management and our Board are cognizant of the expense attributable to compensatory stock awards, as well as dilution, and strive to maintain both at appropriate levels.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6"/>
          </w:tcPr>
          <w:p>
            <w:pPr>
              <w:ind w:left="640"/>
              <w:spacing w:after="0"/>
              <w:rPr>
                <w:sz w:val="20"/>
                <w:szCs w:val="20"/>
                <w:color w:val="auto"/>
              </w:rPr>
            </w:pPr>
            <w:r>
              <w:rPr>
                <w:rFonts w:ascii="Arial" w:cs="Arial" w:eastAsia="Arial" w:hAnsi="Arial"/>
                <w:sz w:val="13"/>
                <w:szCs w:val="13"/>
                <w:b w:val="1"/>
                <w:bCs w:val="1"/>
                <w:i w:val="1"/>
                <w:iCs w:val="1"/>
                <w:color w:val="auto"/>
              </w:rPr>
              <w:t>(Amounts in millions)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Full-</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Value</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Weighted Average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40" w:type="dxa"/>
            <w:vAlign w:val="bottom"/>
            <w:gridSpan w:val="2"/>
          </w:tcPr>
          <w:p>
            <w:pPr>
              <w:ind w:left="80"/>
              <w:spacing w:after="0"/>
              <w:rPr>
                <w:sz w:val="20"/>
                <w:szCs w:val="20"/>
                <w:color w:val="auto"/>
              </w:rPr>
            </w:pPr>
            <w:r>
              <w:rPr>
                <w:rFonts w:ascii="Arial" w:cs="Arial" w:eastAsia="Arial" w:hAnsi="Arial"/>
                <w:sz w:val="13"/>
                <w:szCs w:val="13"/>
                <w:b w:val="1"/>
                <w:bCs w:val="1"/>
                <w:color w:val="auto"/>
              </w:rPr>
              <w:t>SSARs/PSSARs</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Awards</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Common Shares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120" w:type="dxa"/>
            <w:vAlign w:val="bottom"/>
          </w:tcPr>
          <w:p>
            <w:pPr>
              <w:spacing w:after="0"/>
              <w:rPr>
                <w:sz w:val="15"/>
                <w:szCs w:val="15"/>
                <w:color w:val="auto"/>
              </w:rPr>
            </w:pPr>
          </w:p>
        </w:tc>
        <w:tc>
          <w:tcPr>
            <w:tcW w:w="390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w:t>
            </w:r>
          </w:p>
        </w:tc>
        <w:tc>
          <w:tcPr>
            <w:tcW w:w="108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Granted</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Granted</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Granted</w:t>
            </w:r>
          </w:p>
        </w:tc>
        <w:tc>
          <w:tcPr>
            <w:tcW w:w="1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Outstanding</w:t>
            </w:r>
          </w:p>
        </w:tc>
        <w:tc>
          <w:tcPr>
            <w:tcW w:w="160" w:type="dxa"/>
            <w:vAlign w:val="bottom"/>
          </w:tcPr>
          <w:p>
            <w:pPr>
              <w:spacing w:after="0"/>
              <w:rPr>
                <w:sz w:val="15"/>
                <w:szCs w:val="15"/>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Burn Rate</w:t>
            </w:r>
          </w:p>
        </w:tc>
        <w:tc>
          <w:tcPr>
            <w:tcW w:w="1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2019</w:t>
            </w:r>
          </w:p>
        </w:tc>
        <w:tc>
          <w:tcPr>
            <w:tcW w:w="36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0.7</w:t>
            </w:r>
          </w:p>
        </w:tc>
        <w:tc>
          <w:tcPr>
            <w:tcW w:w="80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0.3</w:t>
            </w:r>
          </w:p>
        </w:tc>
        <w:tc>
          <w:tcPr>
            <w:tcW w:w="80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1.0</w:t>
            </w:r>
          </w:p>
        </w:tc>
        <w:tc>
          <w:tcPr>
            <w:tcW w:w="136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66.1</w:t>
            </w:r>
          </w:p>
        </w:tc>
        <w:tc>
          <w:tcPr>
            <w:tcW w:w="92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1.51%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2018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67.4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Three-Year Average</w:t>
            </w: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390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5"/>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6"/>
          </w:tcPr>
          <w:p>
            <w:pPr>
              <w:ind w:left="100"/>
              <w:spacing w:after="0"/>
              <w:rPr>
                <w:sz w:val="20"/>
                <w:szCs w:val="20"/>
                <w:color w:val="auto"/>
              </w:rPr>
            </w:pPr>
            <w:r>
              <w:rPr>
                <w:rFonts w:ascii="Arial" w:cs="Arial" w:eastAsia="Arial" w:hAnsi="Arial"/>
                <w:sz w:val="18"/>
                <w:szCs w:val="18"/>
                <w:b w:val="1"/>
                <w:bCs w:val="1"/>
                <w:color w:val="0048E0"/>
                <w:w w:val="94"/>
              </w:rPr>
              <w:t xml:space="preserve">World Fuel Services Corporation   </w:t>
            </w:r>
            <w:r>
              <w:rPr>
                <w:rFonts w:ascii="Arial" w:cs="Arial" w:eastAsia="Arial" w:hAnsi="Arial"/>
                <w:sz w:val="35"/>
                <w:szCs w:val="35"/>
                <w:b w:val="1"/>
                <w:bCs w:val="1"/>
                <w:color w:val="000000"/>
                <w:w w:val="94"/>
                <w:vertAlign w:val="subscript"/>
              </w:rPr>
              <w:t>|</w:t>
            </w:r>
          </w:p>
        </w:tc>
        <w:tc>
          <w:tcPr>
            <w:tcW w:w="2020" w:type="dxa"/>
            <w:vAlign w:val="bottom"/>
            <w:gridSpan w:val="3"/>
          </w:tcPr>
          <w:p>
            <w:pPr>
              <w:ind w:left="100"/>
              <w:spacing w:after="0"/>
              <w:rPr>
                <w:sz w:val="20"/>
                <w:szCs w:val="20"/>
                <w:color w:val="auto"/>
              </w:rPr>
            </w:pPr>
            <w:r>
              <w:rPr>
                <w:rFonts w:ascii="Arial" w:cs="Arial" w:eastAsia="Arial" w:hAnsi="Arial"/>
                <w:sz w:val="18"/>
                <w:szCs w:val="18"/>
                <w:color w:val="auto"/>
                <w:w w:val="91"/>
              </w:rPr>
              <w:t>2020 Proxy Statement  74</w:t>
            </w:r>
          </w:p>
        </w:tc>
        <w:tc>
          <w:tcPr>
            <w:tcW w:w="0" w:type="dxa"/>
            <w:vAlign w:val="bottom"/>
          </w:tcPr>
          <w:p>
            <w:pPr>
              <w:spacing w:after="0"/>
              <w:rPr>
                <w:sz w:val="1"/>
                <w:szCs w:val="1"/>
                <w:color w:val="auto"/>
              </w:rPr>
            </w:pPr>
          </w:p>
        </w:tc>
      </w:tr>
      <w:tr>
        <w:trPr>
          <w:trHeight w:val="177"/>
        </w:trPr>
        <w:tc>
          <w:tcPr>
            <w:tcW w:w="112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362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64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62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110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Important Governance Features and Practices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2020 Plan and our equity grant practices are designed to reflect leading corporate governance practices and protect shareholder interests: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0048E0"/>
              </w:rPr>
              <w:t>FEATURE/PRACTICE</w:t>
            </w:r>
          </w:p>
        </w:tc>
        <w:tc>
          <w:tcPr>
            <w:tcW w:w="9260" w:type="dxa"/>
            <w:vAlign w:val="bottom"/>
            <w:tcBorders>
              <w:bottom w:val="single" w:sz="8" w:color="auto"/>
            </w:tcBorders>
          </w:tcPr>
          <w:p>
            <w:pPr>
              <w:ind w:left="4300"/>
              <w:spacing w:after="0"/>
              <w:rPr>
                <w:sz w:val="20"/>
                <w:szCs w:val="20"/>
                <w:color w:val="auto"/>
              </w:rPr>
            </w:pPr>
            <w:r>
              <w:rPr>
                <w:rFonts w:ascii="Arial" w:cs="Arial" w:eastAsia="Arial" w:hAnsi="Arial"/>
                <w:sz w:val="13"/>
                <w:szCs w:val="13"/>
                <w:b w:val="1"/>
                <w:bCs w:val="1"/>
                <w:color w:val="0048E0"/>
              </w:rPr>
              <w:t>DESCRIPTION</w:t>
            </w:r>
          </w:p>
        </w:tc>
      </w:tr>
      <w:tr>
        <w:trPr>
          <w:trHeight w:val="445"/>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No Liberal Share</w:t>
            </w:r>
          </w:p>
        </w:tc>
        <w:tc>
          <w:tcPr>
            <w:tcW w:w="9260" w:type="dxa"/>
            <w:vAlign w:val="bottom"/>
          </w:tcPr>
          <w:p>
            <w:pPr>
              <w:ind w:left="300"/>
              <w:spacing w:after="0"/>
              <w:rPr>
                <w:sz w:val="20"/>
                <w:szCs w:val="20"/>
                <w:color w:val="auto"/>
              </w:rPr>
            </w:pPr>
            <w:r>
              <w:rPr>
                <w:rFonts w:ascii="Arial" w:cs="Arial" w:eastAsia="Arial" w:hAnsi="Arial"/>
                <w:sz w:val="18"/>
                <w:szCs w:val="18"/>
                <w:color w:val="auto"/>
                <w:w w:val="92"/>
              </w:rPr>
              <w:t>Neither shares of Stock withheld or tendered to satisfy applicable tax withholding obligations or in payment of the exercise</w:t>
            </w:r>
          </w:p>
        </w:tc>
      </w:tr>
      <w:tr>
        <w:trPr>
          <w:trHeight w:val="222"/>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Recycling</w:t>
            </w:r>
          </w:p>
        </w:tc>
        <w:tc>
          <w:tcPr>
            <w:tcW w:w="9260" w:type="dxa"/>
            <w:vAlign w:val="bottom"/>
          </w:tcPr>
          <w:p>
            <w:pPr>
              <w:ind w:left="300"/>
              <w:spacing w:after="0"/>
              <w:rPr>
                <w:sz w:val="20"/>
                <w:szCs w:val="20"/>
                <w:color w:val="auto"/>
              </w:rPr>
            </w:pPr>
            <w:r>
              <w:rPr>
                <w:rFonts w:ascii="Arial" w:cs="Arial" w:eastAsia="Arial" w:hAnsi="Arial"/>
                <w:sz w:val="18"/>
                <w:szCs w:val="18"/>
                <w:color w:val="auto"/>
                <w:w w:val="88"/>
              </w:rPr>
              <w:t>price of an award either under the 2020 Plan or a Prior Plan nor any shares of Stock repurchased by the Company on the open</w:t>
            </w:r>
          </w:p>
        </w:tc>
      </w:tr>
      <w:tr>
        <w:trPr>
          <w:trHeight w:val="216"/>
        </w:trPr>
        <w:tc>
          <w:tcPr>
            <w:tcW w:w="1980" w:type="dxa"/>
            <w:vAlign w:val="bottom"/>
            <w:tcBorders>
              <w:right w:val="single" w:sz="8" w:color="auto"/>
            </w:tcBorders>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88"/>
              </w:rPr>
              <w:t>market with the proceeds of an award under the 2020 Plan or Prior Plan paid to the Company by or on behalf of the Participant</w:t>
            </w:r>
          </w:p>
        </w:tc>
      </w:tr>
      <w:tr>
        <w:trPr>
          <w:trHeight w:val="216"/>
        </w:trPr>
        <w:tc>
          <w:tcPr>
            <w:tcW w:w="1980" w:type="dxa"/>
            <w:vAlign w:val="bottom"/>
            <w:tcBorders>
              <w:right w:val="single" w:sz="8" w:color="auto"/>
            </w:tcBorders>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89"/>
              </w:rPr>
              <w:t>would be available again for purposes of determining the maximum number of shares of Stock available for delivery under the</w:t>
            </w:r>
          </w:p>
        </w:tc>
      </w:tr>
      <w:tr>
        <w:trPr>
          <w:trHeight w:val="216"/>
        </w:trPr>
        <w:tc>
          <w:tcPr>
            <w:tcW w:w="1980" w:type="dxa"/>
            <w:vAlign w:val="bottom"/>
            <w:tcBorders>
              <w:right w:val="single" w:sz="8" w:color="auto"/>
            </w:tcBorders>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rPr>
              <w:t>2020 Plan.</w:t>
            </w:r>
          </w:p>
        </w:tc>
      </w:tr>
      <w:tr>
        <w:trPr>
          <w:trHeight w:val="216"/>
        </w:trPr>
        <w:tc>
          <w:tcPr>
            <w:tcW w:w="1980" w:type="dxa"/>
            <w:vAlign w:val="bottom"/>
            <w:tcBorders>
              <w:right w:val="single" w:sz="8" w:color="auto"/>
            </w:tcBorders>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0"/>
              </w:rPr>
              <w:t>Each share of Stock with respect to which a SAR is exercised would be counted as one share of Stock against the maximum</w:t>
            </w:r>
          </w:p>
        </w:tc>
      </w:tr>
      <w:tr>
        <w:trPr>
          <w:trHeight w:val="216"/>
        </w:trPr>
        <w:tc>
          <w:tcPr>
            <w:tcW w:w="1980" w:type="dxa"/>
            <w:vAlign w:val="bottom"/>
            <w:tcBorders>
              <w:right w:val="single" w:sz="8" w:color="auto"/>
            </w:tcBorders>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88"/>
              </w:rPr>
              <w:t>number of shares of Stock available for delivery under the Plan, regardless of the number of shares of Stock actually delivered</w:t>
            </w:r>
          </w:p>
        </w:tc>
      </w:tr>
      <w:tr>
        <w:trPr>
          <w:trHeight w:val="223"/>
        </w:trPr>
        <w:tc>
          <w:tcPr>
            <w:tcW w:w="1980" w:type="dxa"/>
            <w:vAlign w:val="bottom"/>
            <w:tcBorders>
              <w:bottom w:val="single" w:sz="8" w:color="auto"/>
              <w:right w:val="single" w:sz="8" w:color="auto"/>
            </w:tcBorders>
          </w:tcPr>
          <w:p>
            <w:pPr>
              <w:spacing w:after="0"/>
              <w:rPr>
                <w:sz w:val="19"/>
                <w:szCs w:val="19"/>
                <w:color w:val="auto"/>
              </w:rPr>
            </w:pPr>
          </w:p>
        </w:tc>
        <w:tc>
          <w:tcPr>
            <w:tcW w:w="92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upon settlement of such SAR.</w:t>
            </w:r>
          </w:p>
        </w:tc>
      </w:tr>
      <w:tr>
        <w:trPr>
          <w:trHeight w:val="445"/>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5"/>
              </w:rPr>
              <w:t>No Evergreen Provision</w:t>
            </w:r>
          </w:p>
        </w:tc>
        <w:tc>
          <w:tcPr>
            <w:tcW w:w="9260" w:type="dxa"/>
            <w:vAlign w:val="bottom"/>
          </w:tcPr>
          <w:p>
            <w:pPr>
              <w:ind w:left="300"/>
              <w:spacing w:after="0"/>
              <w:rPr>
                <w:sz w:val="20"/>
                <w:szCs w:val="20"/>
                <w:color w:val="auto"/>
              </w:rPr>
            </w:pPr>
            <w:r>
              <w:rPr>
                <w:rFonts w:ascii="Arial" w:cs="Arial" w:eastAsia="Arial" w:hAnsi="Arial"/>
                <w:sz w:val="18"/>
                <w:szCs w:val="18"/>
                <w:color w:val="auto"/>
                <w:w w:val="88"/>
              </w:rPr>
              <w:t>The Plan does not contain an "evergreen" feature that automatically replenishes the shares available for future grants under the</w:t>
            </w:r>
          </w:p>
        </w:tc>
      </w:tr>
      <w:tr>
        <w:trPr>
          <w:trHeight w:val="223"/>
        </w:trPr>
        <w:tc>
          <w:tcPr>
            <w:tcW w:w="1980" w:type="dxa"/>
            <w:vAlign w:val="bottom"/>
            <w:tcBorders>
              <w:bottom w:val="single" w:sz="8" w:color="auto"/>
              <w:right w:val="single" w:sz="8" w:color="auto"/>
            </w:tcBorders>
          </w:tcPr>
          <w:p>
            <w:pPr>
              <w:spacing w:after="0"/>
              <w:rPr>
                <w:sz w:val="19"/>
                <w:szCs w:val="19"/>
                <w:color w:val="auto"/>
              </w:rPr>
            </w:pPr>
          </w:p>
        </w:tc>
        <w:tc>
          <w:tcPr>
            <w:tcW w:w="92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2020 Plan.</w:t>
            </w:r>
          </w:p>
        </w:tc>
      </w:tr>
      <w:tr>
        <w:trPr>
          <w:trHeight w:val="453"/>
        </w:trPr>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No Automatic Grants</w:t>
            </w:r>
          </w:p>
        </w:tc>
        <w:tc>
          <w:tcPr>
            <w:tcW w:w="92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The Plan does not provide for automatic grants to any participant.</w:t>
            </w:r>
          </w:p>
        </w:tc>
      </w:tr>
      <w:tr>
        <w:trPr>
          <w:trHeight w:val="452"/>
        </w:trPr>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No Tax Gross-Ups</w:t>
            </w:r>
          </w:p>
        </w:tc>
        <w:tc>
          <w:tcPr>
            <w:tcW w:w="92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The Plan does not provide for any tax gross-ups.</w:t>
            </w:r>
          </w:p>
        </w:tc>
      </w:tr>
      <w:tr>
        <w:trPr>
          <w:trHeight w:val="439"/>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6"/>
              </w:rPr>
              <w:t>No Discounted Options</w:t>
            </w:r>
          </w:p>
        </w:tc>
        <w:tc>
          <w:tcPr>
            <w:tcW w:w="9260" w:type="dxa"/>
            <w:vAlign w:val="bottom"/>
          </w:tcPr>
          <w:p>
            <w:pPr>
              <w:ind w:left="300"/>
              <w:spacing w:after="0"/>
              <w:rPr>
                <w:sz w:val="20"/>
                <w:szCs w:val="20"/>
                <w:color w:val="auto"/>
              </w:rPr>
            </w:pPr>
            <w:r>
              <w:rPr>
                <w:rFonts w:ascii="Arial" w:cs="Arial" w:eastAsia="Arial" w:hAnsi="Arial"/>
                <w:sz w:val="18"/>
                <w:szCs w:val="18"/>
                <w:color w:val="auto"/>
                <w:w w:val="89"/>
              </w:rPr>
              <w:t>Options and SARs may not be granted with exercise prices lower than the market value of the underlying shares on the grant</w:t>
            </w:r>
          </w:p>
        </w:tc>
      </w:tr>
      <w:tr>
        <w:trPr>
          <w:trHeight w:val="229"/>
        </w:trPr>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or SARs</w:t>
            </w:r>
          </w:p>
        </w:tc>
        <w:tc>
          <w:tcPr>
            <w:tcW w:w="92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date.</w:t>
            </w:r>
          </w:p>
        </w:tc>
      </w:tr>
      <w:tr>
        <w:trPr>
          <w:trHeight w:val="439"/>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7"/>
              </w:rPr>
              <w:t>Explicit "No Repricing"</w:t>
            </w:r>
          </w:p>
        </w:tc>
        <w:tc>
          <w:tcPr>
            <w:tcW w:w="9260" w:type="dxa"/>
            <w:vAlign w:val="bottom"/>
          </w:tcPr>
          <w:p>
            <w:pPr>
              <w:ind w:left="300"/>
              <w:spacing w:after="0"/>
              <w:rPr>
                <w:sz w:val="20"/>
                <w:szCs w:val="20"/>
                <w:color w:val="auto"/>
              </w:rPr>
            </w:pPr>
            <w:r>
              <w:rPr>
                <w:rFonts w:ascii="Arial" w:cs="Arial" w:eastAsia="Arial" w:hAnsi="Arial"/>
                <w:sz w:val="18"/>
                <w:szCs w:val="18"/>
                <w:color w:val="auto"/>
                <w:w w:val="89"/>
              </w:rPr>
              <w:t>Subject to certain adjustment provisions, the Plan expressly provides that the terms of Options or SARs may not be amended,</w:t>
            </w:r>
          </w:p>
        </w:tc>
      </w:tr>
      <w:tr>
        <w:trPr>
          <w:trHeight w:val="222"/>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Provisions</w:t>
            </w:r>
          </w:p>
        </w:tc>
        <w:tc>
          <w:tcPr>
            <w:tcW w:w="9260" w:type="dxa"/>
            <w:vAlign w:val="bottom"/>
          </w:tcPr>
          <w:p>
            <w:pPr>
              <w:ind w:left="300"/>
              <w:spacing w:after="0"/>
              <w:rPr>
                <w:sz w:val="20"/>
                <w:szCs w:val="20"/>
                <w:color w:val="auto"/>
              </w:rPr>
            </w:pPr>
            <w:r>
              <w:rPr>
                <w:rFonts w:ascii="Arial" w:cs="Arial" w:eastAsia="Arial" w:hAnsi="Arial"/>
                <w:sz w:val="18"/>
                <w:szCs w:val="18"/>
                <w:color w:val="auto"/>
                <w:w w:val="89"/>
              </w:rPr>
              <w:t>substituted or replaced or re-granted, without shareholder approval, to (1) reduce the exercise price of outstanding Options or</w:t>
            </w:r>
          </w:p>
        </w:tc>
      </w:tr>
      <w:tr>
        <w:trPr>
          <w:trHeight w:val="223"/>
        </w:trPr>
        <w:tc>
          <w:tcPr>
            <w:tcW w:w="1980" w:type="dxa"/>
            <w:vAlign w:val="bottom"/>
            <w:tcBorders>
              <w:bottom w:val="single" w:sz="8" w:color="auto"/>
              <w:right w:val="single" w:sz="8" w:color="auto"/>
            </w:tcBorders>
          </w:tcPr>
          <w:p>
            <w:pPr>
              <w:spacing w:after="0"/>
              <w:rPr>
                <w:sz w:val="19"/>
                <w:szCs w:val="19"/>
                <w:color w:val="auto"/>
              </w:rPr>
            </w:pPr>
          </w:p>
        </w:tc>
        <w:tc>
          <w:tcPr>
            <w:tcW w:w="92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SARs or (2) cancel outstanding options or SARs in exchange for Options or SARs with a lower exercise price.</w:t>
            </w:r>
          </w:p>
        </w:tc>
      </w:tr>
      <w:tr>
        <w:trPr>
          <w:trHeight w:val="439"/>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Minimum Vesting/</w:t>
            </w:r>
          </w:p>
        </w:tc>
        <w:tc>
          <w:tcPr>
            <w:tcW w:w="9260" w:type="dxa"/>
            <w:vAlign w:val="bottom"/>
          </w:tcPr>
          <w:p>
            <w:pPr>
              <w:ind w:left="300"/>
              <w:spacing w:after="0"/>
              <w:rPr>
                <w:sz w:val="20"/>
                <w:szCs w:val="20"/>
                <w:color w:val="auto"/>
              </w:rPr>
            </w:pPr>
            <w:r>
              <w:rPr>
                <w:rFonts w:ascii="Arial" w:cs="Arial" w:eastAsia="Arial" w:hAnsi="Arial"/>
                <w:sz w:val="18"/>
                <w:szCs w:val="18"/>
                <w:color w:val="auto"/>
                <w:w w:val="92"/>
              </w:rPr>
              <w:t>Stock-based awards are subject to a minimum vesting period of one year, subject to a de minimis exception and a further</w:t>
            </w:r>
          </w:p>
        </w:tc>
      </w:tr>
      <w:tr>
        <w:trPr>
          <w:trHeight w:val="222"/>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Minimum Retention</w:t>
            </w:r>
          </w:p>
        </w:tc>
        <w:tc>
          <w:tcPr>
            <w:tcW w:w="9260" w:type="dxa"/>
            <w:vAlign w:val="bottom"/>
          </w:tcPr>
          <w:p>
            <w:pPr>
              <w:ind w:left="300"/>
              <w:spacing w:after="0"/>
              <w:rPr>
                <w:sz w:val="20"/>
                <w:szCs w:val="20"/>
                <w:color w:val="auto"/>
              </w:rPr>
            </w:pPr>
            <w:r>
              <w:rPr>
                <w:rFonts w:ascii="Arial" w:cs="Arial" w:eastAsia="Arial" w:hAnsi="Arial"/>
                <w:sz w:val="18"/>
                <w:szCs w:val="18"/>
                <w:color w:val="auto"/>
              </w:rPr>
              <w:t>exception in connection with a participant's death or disability.</w:t>
            </w:r>
          </w:p>
        </w:tc>
      </w:tr>
      <w:tr>
        <w:trPr>
          <w:trHeight w:val="216"/>
        </w:trPr>
        <w:tc>
          <w:tcPr>
            <w:tcW w:w="1980" w:type="dxa"/>
            <w:vAlign w:val="bottom"/>
            <w:tcBorders>
              <w:right w:val="single" w:sz="8" w:color="auto"/>
            </w:tcBorders>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0"/>
              </w:rPr>
              <w:t>In addition, as discussed in the Compensation Discussion and Analysis section of this proxy statement, our stock ownership</w:t>
            </w:r>
          </w:p>
        </w:tc>
      </w:tr>
      <w:tr>
        <w:trPr>
          <w:trHeight w:val="216"/>
        </w:trPr>
        <w:tc>
          <w:tcPr>
            <w:tcW w:w="1980" w:type="dxa"/>
            <w:vAlign w:val="bottom"/>
            <w:tcBorders>
              <w:right w:val="single" w:sz="8" w:color="auto"/>
            </w:tcBorders>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89"/>
              </w:rPr>
              <w:t>and retention guidelines require our NEOs to retain 50% of any net after-tax shares acquired pursuant to any equity award for</w:t>
            </w:r>
          </w:p>
        </w:tc>
      </w:tr>
      <w:tr>
        <w:trPr>
          <w:trHeight w:val="216"/>
        </w:trPr>
        <w:tc>
          <w:tcPr>
            <w:tcW w:w="1980" w:type="dxa"/>
            <w:vAlign w:val="bottom"/>
            <w:tcBorders>
              <w:right w:val="single" w:sz="8" w:color="auto"/>
            </w:tcBorders>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89"/>
              </w:rPr>
              <w:t>three years after the shares are delivered (or until the individual ceases to be an executive officer, if earlier) and own shares of</w:t>
            </w:r>
          </w:p>
        </w:tc>
      </w:tr>
      <w:tr>
        <w:trPr>
          <w:trHeight w:val="223"/>
        </w:trPr>
        <w:tc>
          <w:tcPr>
            <w:tcW w:w="1980" w:type="dxa"/>
            <w:vAlign w:val="bottom"/>
            <w:tcBorders>
              <w:bottom w:val="single" w:sz="8" w:color="auto"/>
              <w:right w:val="single" w:sz="8" w:color="auto"/>
            </w:tcBorders>
          </w:tcPr>
          <w:p>
            <w:pPr>
              <w:spacing w:after="0"/>
              <w:rPr>
                <w:sz w:val="19"/>
                <w:szCs w:val="19"/>
                <w:color w:val="auto"/>
              </w:rPr>
            </w:pPr>
          </w:p>
        </w:tc>
        <w:tc>
          <w:tcPr>
            <w:tcW w:w="92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our Stock with a total value equal to a specified multiple of their base salary, based on level.</w:t>
            </w:r>
          </w:p>
        </w:tc>
      </w:tr>
      <w:tr>
        <w:trPr>
          <w:trHeight w:val="439"/>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Individual Limits on</w:t>
            </w:r>
          </w:p>
        </w:tc>
        <w:tc>
          <w:tcPr>
            <w:tcW w:w="9260" w:type="dxa"/>
            <w:vAlign w:val="bottom"/>
          </w:tcPr>
          <w:p>
            <w:pPr>
              <w:ind w:left="300"/>
              <w:spacing w:after="0"/>
              <w:rPr>
                <w:sz w:val="20"/>
                <w:szCs w:val="20"/>
                <w:color w:val="auto"/>
              </w:rPr>
            </w:pPr>
            <w:r>
              <w:rPr>
                <w:rFonts w:ascii="Arial" w:cs="Arial" w:eastAsia="Arial" w:hAnsi="Arial"/>
                <w:sz w:val="18"/>
                <w:szCs w:val="18"/>
                <w:color w:val="auto"/>
                <w:w w:val="95"/>
              </w:rPr>
              <w:t>The Plan limits the number of shares of Stock underlying performance compensation awards that may be granted to a</w:t>
            </w:r>
          </w:p>
        </w:tc>
      </w:tr>
      <w:tr>
        <w:trPr>
          <w:trHeight w:val="222"/>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Awards</w:t>
            </w:r>
          </w:p>
        </w:tc>
        <w:tc>
          <w:tcPr>
            <w:tcW w:w="9260" w:type="dxa"/>
            <w:vAlign w:val="bottom"/>
          </w:tcPr>
          <w:p>
            <w:pPr>
              <w:ind w:left="300"/>
              <w:spacing w:after="0"/>
              <w:rPr>
                <w:sz w:val="20"/>
                <w:szCs w:val="20"/>
                <w:color w:val="auto"/>
              </w:rPr>
            </w:pPr>
            <w:r>
              <w:rPr>
                <w:rFonts w:ascii="Arial" w:cs="Arial" w:eastAsia="Arial" w:hAnsi="Arial"/>
                <w:sz w:val="18"/>
                <w:szCs w:val="18"/>
                <w:color w:val="auto"/>
                <w:w w:val="93"/>
              </w:rPr>
              <w:t>participant in a calendar year. There are further limits on the number of shares underlying awards that may be granted to</w:t>
            </w:r>
          </w:p>
        </w:tc>
      </w:tr>
      <w:tr>
        <w:trPr>
          <w:trHeight w:val="223"/>
        </w:trPr>
        <w:tc>
          <w:tcPr>
            <w:tcW w:w="1980" w:type="dxa"/>
            <w:vAlign w:val="bottom"/>
            <w:tcBorders>
              <w:bottom w:val="single" w:sz="8" w:color="auto"/>
              <w:right w:val="single" w:sz="8" w:color="auto"/>
            </w:tcBorders>
          </w:tcPr>
          <w:p>
            <w:pPr>
              <w:spacing w:after="0"/>
              <w:rPr>
                <w:sz w:val="19"/>
                <w:szCs w:val="19"/>
                <w:color w:val="auto"/>
              </w:rPr>
            </w:pPr>
          </w:p>
        </w:tc>
        <w:tc>
          <w:tcPr>
            <w:tcW w:w="92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independent directors.</w:t>
            </w:r>
          </w:p>
        </w:tc>
      </w:tr>
      <w:tr>
        <w:trPr>
          <w:trHeight w:val="469"/>
        </w:trPr>
        <w:tc>
          <w:tcPr>
            <w:tcW w:w="1980" w:type="dxa"/>
            <w:vAlign w:val="bottom"/>
          </w:tcPr>
          <w:p>
            <w:pPr>
              <w:spacing w:after="0"/>
              <w:rPr>
                <w:sz w:val="24"/>
                <w:szCs w:val="24"/>
                <w:color w:val="auto"/>
              </w:rPr>
            </w:pPr>
          </w:p>
        </w:tc>
        <w:tc>
          <w:tcPr>
            <w:tcW w:w="9260" w:type="dxa"/>
            <w:vAlign w:val="bottom"/>
          </w:tcPr>
          <w:p>
            <w:pPr>
              <w:ind w:left="4380"/>
              <w:spacing w:after="0"/>
              <w:rPr>
                <w:sz w:val="20"/>
                <w:szCs w:val="20"/>
                <w:color w:val="auto"/>
              </w:rPr>
            </w:pPr>
            <w:r>
              <w:rPr>
                <w:rFonts w:ascii="Arial" w:cs="Arial" w:eastAsia="Arial" w:hAnsi="Arial"/>
                <w:sz w:val="18"/>
                <w:szCs w:val="18"/>
                <w:b w:val="1"/>
                <w:bCs w:val="1"/>
                <w:color w:val="0048E0"/>
                <w:w w:val="93"/>
              </w:rPr>
              <w:t xml:space="preserve">World Fuel Services Corporation   </w:t>
            </w:r>
            <w:r>
              <w:rPr>
                <w:rFonts w:ascii="Arial" w:cs="Arial" w:eastAsia="Arial" w:hAnsi="Arial"/>
                <w:sz w:val="35"/>
                <w:szCs w:val="35"/>
                <w:b w:val="1"/>
                <w:bCs w:val="1"/>
                <w:color w:val="000000"/>
                <w:w w:val="93"/>
                <w:vertAlign w:val="subscript"/>
              </w:rPr>
              <w:t>|</w:t>
            </w:r>
            <w:r>
              <w:rPr>
                <w:rFonts w:ascii="Arial" w:cs="Arial" w:eastAsia="Arial" w:hAnsi="Arial"/>
                <w:sz w:val="18"/>
                <w:szCs w:val="18"/>
                <w:b w:val="1"/>
                <w:bCs w:val="1"/>
                <w:color w:val="0048E0"/>
                <w:w w:val="93"/>
              </w:rPr>
              <w:t xml:space="preserve">  </w:t>
            </w:r>
            <w:r>
              <w:rPr>
                <w:rFonts w:ascii="Arial" w:cs="Arial" w:eastAsia="Arial" w:hAnsi="Arial"/>
                <w:sz w:val="18"/>
                <w:szCs w:val="18"/>
                <w:color w:val="000000"/>
                <w:w w:val="93"/>
              </w:rPr>
              <w:t>2020 Proxy Statement  75</w:t>
            </w:r>
          </w:p>
        </w:tc>
      </w:tr>
      <w:tr>
        <w:trPr>
          <w:trHeight w:val="183"/>
        </w:trPr>
        <w:tc>
          <w:tcPr>
            <w:tcW w:w="1980" w:type="dxa"/>
            <w:vAlign w:val="bottom"/>
            <w:tcBorders>
              <w:bottom w:val="single" w:sz="8" w:color="808080"/>
            </w:tcBorders>
          </w:tcPr>
          <w:p>
            <w:pPr>
              <w:spacing w:after="0"/>
              <w:rPr>
                <w:sz w:val="15"/>
                <w:szCs w:val="15"/>
                <w:color w:val="auto"/>
              </w:rPr>
            </w:pPr>
          </w:p>
        </w:tc>
        <w:tc>
          <w:tcPr>
            <w:tcW w:w="926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0048E0"/>
              </w:rPr>
              <w:t>FEATURE/PRACTICE</w:t>
            </w:r>
          </w:p>
        </w:tc>
        <w:tc>
          <w:tcPr>
            <w:tcW w:w="9260" w:type="dxa"/>
            <w:vAlign w:val="bottom"/>
            <w:tcBorders>
              <w:bottom w:val="single" w:sz="8" w:color="auto"/>
            </w:tcBorders>
          </w:tcPr>
          <w:p>
            <w:pPr>
              <w:ind w:left="4300"/>
              <w:spacing w:after="0"/>
              <w:rPr>
                <w:sz w:val="20"/>
                <w:szCs w:val="20"/>
                <w:color w:val="auto"/>
              </w:rPr>
            </w:pPr>
            <w:r>
              <w:rPr>
                <w:rFonts w:ascii="Arial" w:cs="Arial" w:eastAsia="Arial" w:hAnsi="Arial"/>
                <w:sz w:val="13"/>
                <w:szCs w:val="13"/>
                <w:b w:val="1"/>
                <w:bCs w:val="1"/>
                <w:color w:val="0048E0"/>
              </w:rPr>
              <w:t>DESCRIPTION</w:t>
            </w:r>
          </w:p>
        </w:tc>
      </w:tr>
      <w:tr>
        <w:trPr>
          <w:trHeight w:val="202"/>
        </w:trPr>
        <w:tc>
          <w:tcPr>
            <w:tcW w:w="19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No discretionary</w:t>
            </w:r>
          </w:p>
        </w:tc>
        <w:tc>
          <w:tcPr>
            <w:tcW w:w="9260" w:type="dxa"/>
            <w:vAlign w:val="bottom"/>
          </w:tcPr>
          <w:p>
            <w:pPr>
              <w:ind w:left="300"/>
              <w:spacing w:after="0" w:line="201" w:lineRule="exact"/>
              <w:rPr>
                <w:sz w:val="20"/>
                <w:szCs w:val="20"/>
                <w:color w:val="auto"/>
              </w:rPr>
            </w:pPr>
            <w:r>
              <w:rPr>
                <w:rFonts w:ascii="Arial" w:cs="Arial" w:eastAsia="Arial" w:hAnsi="Arial"/>
                <w:sz w:val="18"/>
                <w:szCs w:val="18"/>
                <w:color w:val="auto"/>
                <w:w w:val="96"/>
              </w:rPr>
              <w:t>The Committee does not have discretionary authority to accelerate vesting of an award in the event of a participant's</w:t>
            </w:r>
          </w:p>
        </w:tc>
      </w:tr>
      <w:tr>
        <w:trPr>
          <w:trHeight w:val="216"/>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authority to accelerate</w:t>
            </w:r>
          </w:p>
        </w:tc>
        <w:tc>
          <w:tcPr>
            <w:tcW w:w="9260" w:type="dxa"/>
            <w:vAlign w:val="bottom"/>
          </w:tcPr>
          <w:p>
            <w:pPr>
              <w:ind w:left="300"/>
              <w:spacing w:after="0"/>
              <w:rPr>
                <w:sz w:val="20"/>
                <w:szCs w:val="20"/>
                <w:color w:val="auto"/>
              </w:rPr>
            </w:pPr>
            <w:r>
              <w:rPr>
                <w:rFonts w:ascii="Arial" w:cs="Arial" w:eastAsia="Arial" w:hAnsi="Arial"/>
                <w:sz w:val="18"/>
                <w:szCs w:val="18"/>
                <w:color w:val="auto"/>
              </w:rPr>
              <w:t>termination of employment other than in connection with the participant's death or disability.</w:t>
            </w:r>
          </w:p>
        </w:tc>
      </w:tr>
      <w:tr>
        <w:trPr>
          <w:trHeight w:val="229"/>
        </w:trPr>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upon termination</w:t>
            </w:r>
          </w:p>
        </w:tc>
        <w:tc>
          <w:tcPr>
            <w:tcW w:w="9260" w:type="dxa"/>
            <w:vAlign w:val="bottom"/>
            <w:tcBorders>
              <w:bottom w:val="single" w:sz="8" w:color="auto"/>
            </w:tcBorders>
          </w:tcPr>
          <w:p>
            <w:pPr>
              <w:spacing w:after="0"/>
              <w:rPr>
                <w:sz w:val="19"/>
                <w:szCs w:val="19"/>
                <w:color w:val="auto"/>
              </w:rPr>
            </w:pPr>
          </w:p>
        </w:tc>
      </w:tr>
      <w:tr>
        <w:trPr>
          <w:trHeight w:val="439"/>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0"/>
              </w:rPr>
              <w:t>Double-trigger vesting of</w:t>
            </w:r>
          </w:p>
        </w:tc>
        <w:tc>
          <w:tcPr>
            <w:tcW w:w="9260" w:type="dxa"/>
            <w:vAlign w:val="bottom"/>
          </w:tcPr>
          <w:p>
            <w:pPr>
              <w:ind w:left="300"/>
              <w:spacing w:after="0"/>
              <w:rPr>
                <w:sz w:val="20"/>
                <w:szCs w:val="20"/>
                <w:color w:val="auto"/>
              </w:rPr>
            </w:pPr>
            <w:r>
              <w:rPr>
                <w:rFonts w:ascii="Arial" w:cs="Arial" w:eastAsia="Arial" w:hAnsi="Arial"/>
                <w:sz w:val="18"/>
                <w:szCs w:val="18"/>
                <w:color w:val="auto"/>
                <w:w w:val="89"/>
              </w:rPr>
              <w:t>Awards do not accelerate upon a Change of Control (as defined below), unless the employee is terminated without Cause (as</w:t>
            </w:r>
          </w:p>
        </w:tc>
      </w:tr>
      <w:tr>
        <w:trPr>
          <w:trHeight w:val="216"/>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88"/>
              </w:rPr>
              <w:t>awards upon a Change of</w:t>
            </w:r>
          </w:p>
        </w:tc>
        <w:tc>
          <w:tcPr>
            <w:tcW w:w="9260" w:type="dxa"/>
            <w:vAlign w:val="bottom"/>
          </w:tcPr>
          <w:p>
            <w:pPr>
              <w:ind w:left="300"/>
              <w:spacing w:after="0"/>
              <w:rPr>
                <w:sz w:val="20"/>
                <w:szCs w:val="20"/>
                <w:color w:val="auto"/>
              </w:rPr>
            </w:pPr>
            <w:r>
              <w:rPr>
                <w:rFonts w:ascii="Arial" w:cs="Arial" w:eastAsia="Arial" w:hAnsi="Arial"/>
                <w:sz w:val="18"/>
                <w:szCs w:val="18"/>
                <w:color w:val="auto"/>
                <w:w w:val="99"/>
              </w:rPr>
              <w:t>defined below) within 12 months following the Change of Control or the awards are not assumed by the acquiror.</w:t>
            </w:r>
          </w:p>
        </w:tc>
      </w:tr>
      <w:tr>
        <w:trPr>
          <w:trHeight w:val="222"/>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Control</w:t>
            </w:r>
          </w:p>
        </w:tc>
        <w:tc>
          <w:tcPr>
            <w:tcW w:w="9260" w:type="dxa"/>
            <w:vAlign w:val="bottom"/>
          </w:tcPr>
          <w:p>
            <w:pPr>
              <w:ind w:left="300"/>
              <w:spacing w:after="0"/>
              <w:rPr>
                <w:sz w:val="20"/>
                <w:szCs w:val="20"/>
                <w:color w:val="auto"/>
              </w:rPr>
            </w:pPr>
            <w:r>
              <w:rPr>
                <w:rFonts w:ascii="Arial" w:cs="Arial" w:eastAsia="Arial" w:hAnsi="Arial"/>
                <w:sz w:val="18"/>
                <w:szCs w:val="18"/>
                <w:color w:val="auto"/>
                <w:w w:val="89"/>
              </w:rPr>
              <w:t>For performance awards outstanding at the Change of Control, (i) the performance period would end on the date immediately</w:t>
            </w:r>
          </w:p>
        </w:tc>
      </w:tr>
      <w:tr>
        <w:trPr>
          <w:trHeight w:val="216"/>
        </w:trPr>
        <w:tc>
          <w:tcPr>
            <w:tcW w:w="1980" w:type="dxa"/>
            <w:vAlign w:val="bottom"/>
            <w:tcBorders>
              <w:right w:val="single" w:sz="8" w:color="auto"/>
            </w:tcBorders>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2"/>
              </w:rPr>
              <w:t>prior to such Change of Control, (ii) the Committee would determine the actual level of achievement of performance goals</w:t>
            </w:r>
          </w:p>
        </w:tc>
      </w:tr>
      <w:tr>
        <w:trPr>
          <w:trHeight w:val="216"/>
        </w:trPr>
        <w:tc>
          <w:tcPr>
            <w:tcW w:w="1980" w:type="dxa"/>
            <w:vAlign w:val="bottom"/>
            <w:tcBorders>
              <w:right w:val="single" w:sz="8" w:color="auto"/>
            </w:tcBorders>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1"/>
              </w:rPr>
              <w:t>based upon the Company's audited or unaudited financial information or other information then available as the Committee</w:t>
            </w:r>
          </w:p>
        </w:tc>
      </w:tr>
      <w:tr>
        <w:trPr>
          <w:trHeight w:val="216"/>
        </w:trPr>
        <w:tc>
          <w:tcPr>
            <w:tcW w:w="1980" w:type="dxa"/>
            <w:vAlign w:val="bottom"/>
            <w:tcBorders>
              <w:right w:val="single" w:sz="8" w:color="auto"/>
            </w:tcBorders>
          </w:tcPr>
          <w:p>
            <w:pPr>
              <w:spacing w:after="0"/>
              <w:rPr>
                <w:sz w:val="18"/>
                <w:szCs w:val="18"/>
                <w:color w:val="auto"/>
              </w:rPr>
            </w:pPr>
          </w:p>
        </w:tc>
        <w:tc>
          <w:tcPr>
            <w:tcW w:w="9260" w:type="dxa"/>
            <w:vAlign w:val="bottom"/>
          </w:tcPr>
          <w:p>
            <w:pPr>
              <w:ind w:left="300"/>
              <w:spacing w:after="0"/>
              <w:rPr>
                <w:sz w:val="20"/>
                <w:szCs w:val="20"/>
                <w:color w:val="auto"/>
              </w:rPr>
            </w:pPr>
            <w:r>
              <w:rPr>
                <w:rFonts w:ascii="Arial" w:cs="Arial" w:eastAsia="Arial" w:hAnsi="Arial"/>
                <w:sz w:val="18"/>
                <w:szCs w:val="18"/>
                <w:color w:val="auto"/>
                <w:w w:val="91"/>
              </w:rPr>
              <w:t>deems relevant and (iii) the earned amount of performance awards will continue to be subject to any service-based vesting</w:t>
            </w:r>
          </w:p>
        </w:tc>
      </w:tr>
      <w:tr>
        <w:trPr>
          <w:trHeight w:val="223"/>
        </w:trPr>
        <w:tc>
          <w:tcPr>
            <w:tcW w:w="1980" w:type="dxa"/>
            <w:vAlign w:val="bottom"/>
            <w:tcBorders>
              <w:bottom w:val="single" w:sz="8" w:color="auto"/>
              <w:right w:val="single" w:sz="8" w:color="auto"/>
            </w:tcBorders>
          </w:tcPr>
          <w:p>
            <w:pPr>
              <w:spacing w:after="0"/>
              <w:rPr>
                <w:sz w:val="19"/>
                <w:szCs w:val="19"/>
                <w:color w:val="auto"/>
              </w:rPr>
            </w:pPr>
          </w:p>
        </w:tc>
        <w:tc>
          <w:tcPr>
            <w:tcW w:w="92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conditions that remain in place.</w:t>
            </w:r>
          </w:p>
        </w:tc>
      </w:tr>
      <w:tr>
        <w:trPr>
          <w:trHeight w:val="439"/>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No liberal Change of</w:t>
            </w:r>
          </w:p>
        </w:tc>
        <w:tc>
          <w:tcPr>
            <w:tcW w:w="9260" w:type="dxa"/>
            <w:vAlign w:val="bottom"/>
          </w:tcPr>
          <w:p>
            <w:pPr>
              <w:ind w:left="300"/>
              <w:spacing w:after="0"/>
              <w:rPr>
                <w:sz w:val="20"/>
                <w:szCs w:val="20"/>
                <w:color w:val="auto"/>
              </w:rPr>
            </w:pPr>
            <w:r>
              <w:rPr>
                <w:rFonts w:ascii="Arial" w:cs="Arial" w:eastAsia="Arial" w:hAnsi="Arial"/>
                <w:sz w:val="18"/>
                <w:szCs w:val="18"/>
                <w:color w:val="auto"/>
                <w:w w:val="94"/>
              </w:rPr>
              <w:t>The definition of Change of Control would require consummation, not only shareholder approval, of a merger or similar</w:t>
            </w:r>
          </w:p>
        </w:tc>
      </w:tr>
      <w:tr>
        <w:trPr>
          <w:trHeight w:val="229"/>
        </w:trPr>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Control definition</w:t>
            </w:r>
          </w:p>
        </w:tc>
        <w:tc>
          <w:tcPr>
            <w:tcW w:w="92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corporate transaction.</w:t>
            </w:r>
          </w:p>
        </w:tc>
      </w:tr>
      <w:tr>
        <w:trPr>
          <w:trHeight w:val="439"/>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No Dividends on</w:t>
            </w:r>
          </w:p>
        </w:tc>
        <w:tc>
          <w:tcPr>
            <w:tcW w:w="9260" w:type="dxa"/>
            <w:vAlign w:val="bottom"/>
          </w:tcPr>
          <w:p>
            <w:pPr>
              <w:ind w:left="300"/>
              <w:spacing w:after="0"/>
              <w:rPr>
                <w:sz w:val="20"/>
                <w:szCs w:val="20"/>
                <w:color w:val="auto"/>
              </w:rPr>
            </w:pPr>
            <w:r>
              <w:rPr>
                <w:rFonts w:ascii="Arial" w:cs="Arial" w:eastAsia="Arial" w:hAnsi="Arial"/>
                <w:sz w:val="18"/>
                <w:szCs w:val="18"/>
                <w:color w:val="auto"/>
                <w:w w:val="89"/>
              </w:rPr>
              <w:t>The Plan prohibits the payment of dividends or dividend equivalents on Options and SARs. Where permitted for other awards,</w:t>
            </w:r>
          </w:p>
        </w:tc>
      </w:tr>
      <w:tr>
        <w:trPr>
          <w:trHeight w:val="216"/>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2"/>
              </w:rPr>
              <w:t>Unvested Awards, Stock</w:t>
            </w:r>
          </w:p>
        </w:tc>
        <w:tc>
          <w:tcPr>
            <w:tcW w:w="9260" w:type="dxa"/>
            <w:vAlign w:val="bottom"/>
          </w:tcPr>
          <w:p>
            <w:pPr>
              <w:ind w:left="300"/>
              <w:spacing w:after="0"/>
              <w:rPr>
                <w:sz w:val="20"/>
                <w:szCs w:val="20"/>
                <w:color w:val="auto"/>
              </w:rPr>
            </w:pPr>
            <w:r>
              <w:rPr>
                <w:rFonts w:ascii="Arial" w:cs="Arial" w:eastAsia="Arial" w:hAnsi="Arial"/>
                <w:sz w:val="18"/>
                <w:szCs w:val="18"/>
                <w:color w:val="auto"/>
                <w:w w:val="92"/>
              </w:rPr>
              <w:t>dividends or dividend equivalent rights, if any, will be subject to the same vesting requirements and risk of forfeiture as the</w:t>
            </w:r>
          </w:p>
        </w:tc>
      </w:tr>
      <w:tr>
        <w:trPr>
          <w:trHeight w:val="229"/>
        </w:trPr>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Options or SARs</w:t>
            </w:r>
          </w:p>
        </w:tc>
        <w:tc>
          <w:tcPr>
            <w:tcW w:w="92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underlying award and will only be paid at the time those vesting requirements are satisfied.</w:t>
            </w:r>
          </w:p>
        </w:tc>
      </w:tr>
      <w:tr>
        <w:trPr>
          <w:trHeight w:val="453"/>
        </w:trPr>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Seven-year expiration</w:t>
            </w:r>
          </w:p>
        </w:tc>
        <w:tc>
          <w:tcPr>
            <w:tcW w:w="92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No Option or SAR is permitted to be exercisable after the seven-year anniversary of the date of grant.</w:t>
            </w:r>
          </w:p>
        </w:tc>
      </w:tr>
      <w:tr>
        <w:trPr>
          <w:trHeight w:val="439"/>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Independent</w:t>
            </w:r>
          </w:p>
        </w:tc>
        <w:tc>
          <w:tcPr>
            <w:tcW w:w="9260" w:type="dxa"/>
            <w:vAlign w:val="bottom"/>
          </w:tcPr>
          <w:p>
            <w:pPr>
              <w:ind w:left="300"/>
              <w:spacing w:after="0"/>
              <w:rPr>
                <w:sz w:val="20"/>
                <w:szCs w:val="20"/>
                <w:color w:val="auto"/>
              </w:rPr>
            </w:pPr>
            <w:r>
              <w:rPr>
                <w:rFonts w:ascii="Arial" w:cs="Arial" w:eastAsia="Arial" w:hAnsi="Arial"/>
                <w:sz w:val="18"/>
                <w:szCs w:val="18"/>
                <w:color w:val="auto"/>
                <w:w w:val="90"/>
              </w:rPr>
              <w:t>The Plan is administered by the Compensation Committee, which is composed entirely of directors which are "independent"</w:t>
            </w:r>
          </w:p>
        </w:tc>
      </w:tr>
      <w:tr>
        <w:trPr>
          <w:trHeight w:val="222"/>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Administration</w:t>
            </w:r>
          </w:p>
        </w:tc>
        <w:tc>
          <w:tcPr>
            <w:tcW w:w="9260" w:type="dxa"/>
            <w:vAlign w:val="bottom"/>
          </w:tcPr>
          <w:p>
            <w:pPr>
              <w:ind w:left="300"/>
              <w:spacing w:after="0"/>
              <w:rPr>
                <w:sz w:val="20"/>
                <w:szCs w:val="20"/>
                <w:color w:val="auto"/>
              </w:rPr>
            </w:pPr>
            <w:r>
              <w:rPr>
                <w:rFonts w:ascii="Arial" w:cs="Arial" w:eastAsia="Arial" w:hAnsi="Arial"/>
                <w:sz w:val="18"/>
                <w:szCs w:val="18"/>
                <w:color w:val="auto"/>
                <w:w w:val="89"/>
              </w:rPr>
              <w:t>within the meaning of the NYSE independence requirements and "non-employee directors" as defined in Rule 16b-3 under the</w:t>
            </w:r>
          </w:p>
        </w:tc>
      </w:tr>
      <w:tr>
        <w:trPr>
          <w:trHeight w:val="223"/>
        </w:trPr>
        <w:tc>
          <w:tcPr>
            <w:tcW w:w="1980" w:type="dxa"/>
            <w:vAlign w:val="bottom"/>
            <w:tcBorders>
              <w:bottom w:val="single" w:sz="8" w:color="auto"/>
              <w:right w:val="single" w:sz="8" w:color="auto"/>
            </w:tcBorders>
          </w:tcPr>
          <w:p>
            <w:pPr>
              <w:spacing w:after="0"/>
              <w:rPr>
                <w:sz w:val="19"/>
                <w:szCs w:val="19"/>
                <w:color w:val="auto"/>
              </w:rPr>
            </w:pPr>
          </w:p>
        </w:tc>
        <w:tc>
          <w:tcPr>
            <w:tcW w:w="92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Exchange Act.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Vote Required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Under the NYSE rules, approval of the Plan requires the affirmative vote of the majority of the votes cast on the proposal.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A VOTE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APPROVAL OF THE WORLD FUEL SERVICES CORPORATION 2020 OMNIBUS PLAN</w:t>
      </w:r>
    </w:p>
    <w:p>
      <w:pPr>
        <w:spacing w:after="0" w:line="9"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Summary of the 2020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Administration</w:t>
      </w:r>
    </w:p>
    <w:p>
      <w:pPr>
        <w:spacing w:after="0" w:line="225"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The Plan is to be administered by the Compensation Committee (the "Committee") of the Board, which is comprised exclusively of non-management independent directors, who serve at the discretion of the Board. In the absence of the Committee, the Plan is administered by the Board. The Committee would also be permitted to delegate its responsibilities and powers to any director, officer or employee it chooses, and such delegation may be revoked by the Committee at any time, provided that such persons may not take any action with respect to (i) awards held by "officers" of the Company (within the meaning of Rule 16a-1 under the Exchange Act) or independent directors, (ii) take any action inconsistent with Section 409A of the Code, or (iii) take any action inconsistent with applicable provisions of the Florida Business Corporation Act.</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Subject to the terms of the Plan, the Committee is authorized to (i) select eligible recipients, (ii) determine the terms and conditions of the awards,</w:t>
      </w:r>
    </w:p>
    <w:p>
      <w:pPr>
        <w:spacing w:after="0" w:line="38" w:lineRule="exact"/>
        <w:rPr>
          <w:sz w:val="20"/>
          <w:szCs w:val="20"/>
          <w:color w:val="auto"/>
        </w:rPr>
      </w:pPr>
    </w:p>
    <w:p>
      <w:pPr>
        <w:ind w:right="20" w:firstLine="8"/>
        <w:spacing w:after="0" w:line="252" w:lineRule="auto"/>
        <w:tabs>
          <w:tab w:leader="none" w:pos="3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construe and interpret the Plan and awards, (iv) grant replacement awards in specified circumstances, (v) establish, amend and revoke rules and regulations for its administration and (vi) cancel awards. The Committee would not, however, have discretionary authority to accelerate vesting of an award in the event of a participant's termination of employment other than in connection with the participant's death or disability. Any interpretation of the Plan by the Committee, and any decision made by the Committee under the Plan, is binding and conclusive on all persons. In no event would the Committee have the power to reprice options or SARs with an exercise price that is less than the original exercise price, unless such action is approved by the Company's shareholders. Any awards granted to an independent director of the Board is administered by the Board, and the Board would have all the powers of the Committee in such circumstances.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Eligibility</w:t>
      </w:r>
    </w:p>
    <w:p>
      <w:pPr>
        <w:spacing w:after="0" w:line="225" w:lineRule="exact"/>
        <w:rPr>
          <w:sz w:val="20"/>
          <w:szCs w:val="20"/>
          <w:color w:val="auto"/>
        </w:rPr>
      </w:pPr>
    </w:p>
    <w:p>
      <w:pPr>
        <w:ind w:right="60" w:firstLine="605"/>
        <w:spacing w:after="0" w:line="256" w:lineRule="auto"/>
        <w:rPr>
          <w:sz w:val="20"/>
          <w:szCs w:val="20"/>
          <w:color w:val="auto"/>
        </w:rPr>
      </w:pPr>
      <w:r>
        <w:rPr>
          <w:rFonts w:ascii="Arial" w:cs="Arial" w:eastAsia="Arial" w:hAnsi="Arial"/>
          <w:sz w:val="18"/>
          <w:szCs w:val="18"/>
          <w:color w:val="auto"/>
        </w:rPr>
        <w:t>Any current or prospective employee, officer or member of the Board of the Company or any of its Subsidiaries, any individual consultant or other person who performs services for the Company or any of its Subsidiaries is eligible for selection by the Committee to receive awards and participate in the Plan. The Company currently expects that awards would be generally granted to approximately 275 employees and non-employee directors (of whom there are currently eight non-employee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Shares Available for Awards</w:t>
      </w:r>
    </w:p>
    <w:p>
      <w:pPr>
        <w:spacing w:after="0" w:line="225" w:lineRule="exact"/>
        <w:rPr>
          <w:sz w:val="20"/>
          <w:szCs w:val="20"/>
          <w:color w:val="auto"/>
        </w:rPr>
      </w:pPr>
    </w:p>
    <w:p>
      <w:pPr>
        <w:ind w:right="200" w:firstLine="614"/>
        <w:spacing w:after="0" w:line="288" w:lineRule="auto"/>
        <w:rPr>
          <w:sz w:val="20"/>
          <w:szCs w:val="20"/>
          <w:color w:val="auto"/>
        </w:rPr>
      </w:pPr>
      <w:r>
        <w:rPr>
          <w:rFonts w:ascii="Arial" w:cs="Arial" w:eastAsia="Arial" w:hAnsi="Arial"/>
          <w:sz w:val="16"/>
          <w:szCs w:val="16"/>
          <w:color w:val="auto"/>
        </w:rPr>
        <w:t>Subject to adjustment for changes in capitalization, the maximum total number of shares of Stock that may be delivered to participants and their beneficiaries under the Plan is equal to the sum of (a) 1,550,000 shares of Stock plus (b) any shares of Stock remaining available for future awards under the 2016 Plan on the date the 2020 Plan is approved by the Company's shareholders; plus (c) any shares of Stock with respect to awards that were granted under the 2020 Plan or Prior Plans that are forfeited or canceled (e.g., due to the recipient's failure to satisfy applicable service or performance conditions) after the 2020 Plan is approved by the Company's shareholders. However, shares of Stock with respect to awards under the 2020 Plan or the Prior Plans that are withheld or tendered or not issued to the Participant to satisfy tax withholding obligations or to pay the exercise price of any such award would not become available for issuance pursuant to the 2020 Plan. In addition, any shares of Stock repurchased by the Company on the open market with the proceeds of an award under the 2020 Plan or Prior Plan paid to the Company by or on behalf of the Participant would also not become available for issuance under the 2020 Plan.</w:t>
      </w:r>
    </w:p>
    <w:p>
      <w:pPr>
        <w:spacing w:after="0" w:line="173" w:lineRule="exact"/>
        <w:rPr>
          <w:sz w:val="20"/>
          <w:szCs w:val="20"/>
          <w:color w:val="auto"/>
        </w:rPr>
      </w:pPr>
    </w:p>
    <w:p>
      <w:pPr>
        <w:ind w:right="440" w:firstLine="614"/>
        <w:spacing w:after="0" w:line="254" w:lineRule="auto"/>
        <w:rPr>
          <w:sz w:val="20"/>
          <w:szCs w:val="20"/>
          <w:color w:val="auto"/>
        </w:rPr>
      </w:pPr>
      <w:r>
        <w:rPr>
          <w:rFonts w:ascii="Arial" w:cs="Arial" w:eastAsia="Arial" w:hAnsi="Arial"/>
          <w:sz w:val="18"/>
          <w:szCs w:val="18"/>
          <w:color w:val="auto"/>
        </w:rPr>
        <w:t>Upon exercise of a SAR, each share of Stock with respect to which such SAR is exercised is counted as one share of Stock against the maximum aggregate number of shares of Stock that may be</w:t>
      </w: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delivered pursuant to awards granted under the Plan, regardless of the number of shares of Stock actually delivered upon settlement of such SAR. If and to the extent that shares of Stock are not delivered because an award is settled in cash, those shares would not be deemed to have been delivered for purposes of determining the maximum number of shares of Stock available for delivery under the Plan. Shares of Stock issued pursuant to awards granted in substitution for awards previously granted by a company acquired by the Company or subsidiary, or with which the Company or any subsidiary combines, would not reduce the limit on shares of Stock available for delivery under the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Types of Awards</w:t>
      </w:r>
    </w:p>
    <w:p>
      <w:pPr>
        <w:spacing w:after="0" w:line="225" w:lineRule="exact"/>
        <w:rPr>
          <w:sz w:val="20"/>
          <w:szCs w:val="20"/>
          <w:color w:val="auto"/>
        </w:rPr>
      </w:pPr>
    </w:p>
    <w:p>
      <w:pPr>
        <w:ind w:right="60" w:firstLine="614"/>
        <w:spacing w:after="0" w:line="268" w:lineRule="auto"/>
        <w:rPr>
          <w:sz w:val="20"/>
          <w:szCs w:val="20"/>
          <w:color w:val="auto"/>
        </w:rPr>
      </w:pPr>
      <w:r>
        <w:rPr>
          <w:rFonts w:ascii="Arial" w:cs="Arial" w:eastAsia="Arial" w:hAnsi="Arial"/>
          <w:sz w:val="18"/>
          <w:szCs w:val="18"/>
          <w:color w:val="auto"/>
        </w:rPr>
        <w:t>Under the Plan, the Committee is authorized to grant stock options, SARs, SSARs, stock unit awards, performance compensation awards, RSAs, RSU awards, other stock-based awards and cash incentive awards.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0048E0"/>
        </w:rPr>
        <w:t>Stock Options and SARs</w:t>
      </w:r>
    </w:p>
    <w:p>
      <w:pPr>
        <w:spacing w:after="0" w:line="225" w:lineRule="exact"/>
        <w:rPr>
          <w:sz w:val="20"/>
          <w:szCs w:val="20"/>
          <w:color w:val="auto"/>
        </w:rPr>
      </w:pPr>
    </w:p>
    <w:p>
      <w:pPr>
        <w:ind w:right="100" w:firstLine="611"/>
        <w:spacing w:after="0" w:line="309" w:lineRule="auto"/>
        <w:rPr>
          <w:sz w:val="20"/>
          <w:szCs w:val="20"/>
          <w:color w:val="auto"/>
        </w:rPr>
      </w:pPr>
      <w:r>
        <w:rPr>
          <w:rFonts w:ascii="Arial" w:cs="Arial" w:eastAsia="Arial" w:hAnsi="Arial"/>
          <w:sz w:val="15"/>
          <w:szCs w:val="15"/>
          <w:color w:val="auto"/>
        </w:rPr>
        <w:t>The Committee is authorized to grant incentive stock options ("ISOs"), which can result in potentially favorable tax treatment to the participant, non-qualified stock options and SARs, which entitle the participant to receive the amount by which the fair market value of a share of Stock on the date of exercise exceeds the exercise price of the SAR. The exercise price per share subject to an option and the exercise price of a SAR is determined by the Committee, but may not be less than the fair market value of a share of Stock on the date of grant. For purposes of the Plan, the fair market value of a share of Stock as of any given date is the closing sales price per share of Stock as reported on the principal securities exchange or market on which Stock is then listed or admitted to trading on the date that the award is granted or, if the grant date is not a trading day, the fair market value is the closing sales price per share of Stock on the most recent trading prior to the date the award was granted. The maximum term of each option or SAR, the times at which and the manner in which each option or SAR will be exercisable, and provisions requiring forfeiture of unexercised options or SARs at or following termination of employment generally is fixed by the Committee, provided, however, that in no event may an option or SAR remain exercisable after the seven-year anniversary of the date of grant.</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0048E0"/>
        </w:rPr>
        <w:t>Stock-Based Awards and Cash Incentive Awards</w:t>
      </w:r>
    </w:p>
    <w:p>
      <w:pPr>
        <w:spacing w:after="0" w:line="225" w:lineRule="exact"/>
        <w:rPr>
          <w:sz w:val="20"/>
          <w:szCs w:val="20"/>
          <w:color w:val="auto"/>
        </w:rPr>
      </w:pPr>
    </w:p>
    <w:p>
      <w:pPr>
        <w:ind w:right="200" w:firstLine="614"/>
        <w:spacing w:after="0" w:line="283" w:lineRule="auto"/>
        <w:rPr>
          <w:sz w:val="20"/>
          <w:szCs w:val="20"/>
          <w:color w:val="auto"/>
        </w:rPr>
      </w:pPr>
      <w:r>
        <w:rPr>
          <w:rFonts w:ascii="Arial" w:cs="Arial" w:eastAsia="Arial" w:hAnsi="Arial"/>
          <w:sz w:val="16"/>
          <w:szCs w:val="16"/>
          <w:color w:val="auto"/>
        </w:rPr>
        <w:t>Stock-based awards (other than Options and SARs) would consist of: (1) stock unit awards, which are vested awards that entitle the participant to receive shares of Stock in the future; (2) RSAs, which are shares of Stock that are subject to forfeiture or other restrictions that would lapse upon the achievement of one or more goals relating to completion of service, performance or other objectives; (3) RSU awards, which entitle the participant to receive shares of Stock in the future subject to the achievement of one or more goals, relating to completion of certain service, performance or other objectives; and</w:t>
      </w:r>
    </w:p>
    <w:p>
      <w:pPr>
        <w:spacing w:after="0" w:line="3" w:lineRule="exact"/>
        <w:rPr>
          <w:sz w:val="20"/>
          <w:szCs w:val="20"/>
          <w:color w:val="auto"/>
        </w:rPr>
      </w:pPr>
    </w:p>
    <w:p>
      <w:pPr>
        <w:ind w:right="20" w:firstLine="8"/>
        <w:spacing w:after="0" w:line="253"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stock-based awards, which are awards (other than Options, SARs, stock unit awards, RSAs or RSU awards), that is denominated or payable in, valued in whole or in part by reference to, or otherwise based on or related to, shares of Stock. Cash incentive awards would entitle the participant to receive a designated dollar value amount of cash and is subject to the achievement of one or more goals relating to completion of service, performance or other objectives</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0048E0"/>
        </w:rPr>
        <w:t>Performance Compensation Awards</w:t>
      </w:r>
    </w:p>
    <w:p>
      <w:pPr>
        <w:spacing w:after="0" w:line="225" w:lineRule="exact"/>
        <w:rPr>
          <w:sz w:val="20"/>
          <w:szCs w:val="20"/>
          <w:color w:val="auto"/>
        </w:rPr>
      </w:pPr>
    </w:p>
    <w:p>
      <w:pPr>
        <w:ind w:right="440" w:firstLine="611"/>
        <w:spacing w:after="0" w:line="285" w:lineRule="auto"/>
        <w:rPr>
          <w:sz w:val="20"/>
          <w:szCs w:val="20"/>
          <w:color w:val="auto"/>
        </w:rPr>
      </w:pPr>
      <w:r>
        <w:rPr>
          <w:rFonts w:ascii="Arial" w:cs="Arial" w:eastAsia="Arial" w:hAnsi="Arial"/>
          <w:sz w:val="16"/>
          <w:szCs w:val="16"/>
          <w:color w:val="auto"/>
        </w:rPr>
        <w:t>The Committee is authorized to designate any award granted under the 2020 Plan as a performance compensation award that is contingent on the achievement of performance measures during a performance period as determined by the Committee upon the grant of the performance</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compensation award. Performance compensation awards may be settled by delivery of cash, shares or other property, or any combination thereof, as determined by the Committee.</w:t>
      </w:r>
    </w:p>
    <w:p>
      <w:pPr>
        <w:spacing w:after="0" w:line="186" w:lineRule="exact"/>
        <w:rPr>
          <w:sz w:val="20"/>
          <w:szCs w:val="20"/>
          <w:color w:val="auto"/>
        </w:rPr>
      </w:pPr>
    </w:p>
    <w:p>
      <w:pPr>
        <w:ind w:right="380" w:firstLine="611"/>
        <w:spacing w:after="0" w:line="303" w:lineRule="auto"/>
        <w:rPr>
          <w:sz w:val="20"/>
          <w:szCs w:val="20"/>
          <w:color w:val="auto"/>
        </w:rPr>
      </w:pPr>
      <w:r>
        <w:rPr>
          <w:rFonts w:ascii="Arial" w:cs="Arial" w:eastAsia="Arial" w:hAnsi="Arial"/>
          <w:sz w:val="15"/>
          <w:szCs w:val="15"/>
          <w:color w:val="auto"/>
        </w:rPr>
        <w:t>The Committee may establish the performance measures for awards under the Plan which may be based on the achievement of one or more of the following business criteria for the Company, on a consolidated basis, or for any Subsidiary, or for business or geographical units of the Company or any Subsidiary (except with respect to the shareholder return measures and earnings per share criteria),: (1) earnings per share or diluted earnings per share;</w:t>
      </w:r>
    </w:p>
    <w:p>
      <w:pPr>
        <w:spacing w:after="0" w:line="1" w:lineRule="exact"/>
        <w:rPr>
          <w:sz w:val="20"/>
          <w:szCs w:val="20"/>
          <w:color w:val="auto"/>
        </w:rPr>
      </w:pPr>
    </w:p>
    <w:p>
      <w:pPr>
        <w:ind w:right="300" w:firstLine="8"/>
        <w:spacing w:after="0" w:line="300" w:lineRule="auto"/>
        <w:tabs>
          <w:tab w:leader="none" w:pos="249"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revenues or margins; (3) cash flow; (4) gross or net profitability/profit margins (including profitability of a product or service); (5) return measures (including return on net assets, investment, capital, equity, or sales); (6) economic value; enterprise value; (7) direct contribution; (8) net income; (9) pretax earnings; (10) earnings before interest and taxes; (11) earnings before interest, taxes, depreciation and amortization; (12) earnings after interest expense and before non-recurring or special items; (13) operating income; (14) income before interest income or expense, unusual items and income taxes, local, state, federal or foreign and excluding budgeted and actual bonuses which might be paid under any ongoing bonus plans of the Company; (15) working capital;</w:t>
      </w:r>
    </w:p>
    <w:p>
      <w:pPr>
        <w:spacing w:after="0" w:line="1" w:lineRule="exact"/>
        <w:rPr>
          <w:rFonts w:ascii="Arial" w:cs="Arial" w:eastAsia="Arial" w:hAnsi="Arial"/>
          <w:sz w:val="15"/>
          <w:szCs w:val="15"/>
          <w:color w:val="auto"/>
        </w:rPr>
      </w:pPr>
    </w:p>
    <w:p>
      <w:pPr>
        <w:ind w:right="160" w:firstLine="8"/>
        <w:spacing w:after="0" w:line="281" w:lineRule="auto"/>
        <w:tabs>
          <w:tab w:leader="none" w:pos="336"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costs or expenses (including specified types or categories thereof); (17) identification and/or consummation of investment opportunities or completion of specified projects, including strategic mergers, acquisitions or divestitures; (18) shareholder return measures; share price; (19) debt reduction or borrowing levels; (20) improvements in capital structure; (21) sales or product volume; days sales outstanding; (22) market share (in the aggregate or by segment);</w:t>
      </w:r>
    </w:p>
    <w:p>
      <w:pPr>
        <w:spacing w:after="0" w:line="1" w:lineRule="exact"/>
        <w:rPr>
          <w:rFonts w:ascii="Arial" w:cs="Arial" w:eastAsia="Arial" w:hAnsi="Arial"/>
          <w:sz w:val="16"/>
          <w:szCs w:val="16"/>
          <w:color w:val="auto"/>
        </w:rPr>
      </w:pPr>
    </w:p>
    <w:p>
      <w:pPr>
        <w:ind w:right="80" w:firstLine="8"/>
        <w:spacing w:after="0" w:line="253" w:lineRule="auto"/>
        <w:tabs>
          <w:tab w:leader="none" w:pos="3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ratios (including operating, leverage, combined); (24) book, economic book or intrinsic book value (including book value per share); (25) entry into new markets, either geographically or by business unit; (26) customer retention and satisfaction; (27) safety and accident rates; (28) strategic plan development and implementation, including turnaround plans; (29) funds from operations, (30) any other financial or operational metric selected by the Committee; or (31) any other criteria as the Committee determines in its discretion.</w:t>
      </w:r>
    </w:p>
    <w:p>
      <w:pPr>
        <w:spacing w:after="0" w:line="201" w:lineRule="exact"/>
        <w:rPr>
          <w:sz w:val="20"/>
          <w:szCs w:val="20"/>
          <w:color w:val="auto"/>
        </w:rPr>
      </w:pPr>
    </w:p>
    <w:p>
      <w:pPr>
        <w:ind w:right="140" w:firstLine="605"/>
        <w:spacing w:after="0" w:line="291" w:lineRule="auto"/>
        <w:rPr>
          <w:sz w:val="20"/>
          <w:szCs w:val="20"/>
          <w:color w:val="auto"/>
        </w:rPr>
      </w:pPr>
      <w:r>
        <w:rPr>
          <w:rFonts w:ascii="Arial" w:cs="Arial" w:eastAsia="Arial" w:hAnsi="Arial"/>
          <w:sz w:val="16"/>
          <w:szCs w:val="16"/>
          <w:color w:val="auto"/>
        </w:rPr>
        <w:t>Any of the above goals may be determined on an absolute or relative basis (e.g. growth in earnings per share) or as compared to the performance of a published or special index deemed applicable by the Committee including, but not limited to, the Standard &amp; Poor's 500 Stock Index or a group of companies that are selected by the Committee. The Committee may adjust the impact of one or more events or occurrences as the Committee determines appropriate, including, without limitation, (i) acquisitions, divestitures, restructurings, discontinued operations, and other unusual or non-recurring charges, (ii) an event either not directly related to the operations of the Company or any of its affiliates, Subsidiaries, divisions, segments or operating units or not within the reasonable control of the Company's management, or (iii) a change in accounting standards required by generally accepted accounting principles.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Other Terms of Awards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Awards issued under the Plan may also include the following terms:</w:t>
      </w:r>
    </w:p>
    <w:p>
      <w:pPr>
        <w:spacing w:after="0" w:line="239" w:lineRule="exact"/>
        <w:rPr>
          <w:sz w:val="20"/>
          <w:szCs w:val="20"/>
          <w:color w:val="auto"/>
        </w:rPr>
      </w:pPr>
    </w:p>
    <w:p>
      <w:pPr>
        <w:ind w:left="1080" w:right="6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Awards may be settled in the form of cash, shares of Stock, other awards, or any combination thereof, as the Committee is permitted to determine.</w:t>
      </w:r>
    </w:p>
    <w:p>
      <w:pPr>
        <w:spacing w:after="0" w:line="212" w:lineRule="exact"/>
        <w:rPr>
          <w:rFonts w:ascii="Arial" w:cs="Arial" w:eastAsia="Arial" w:hAnsi="Arial"/>
          <w:sz w:val="18"/>
          <w:szCs w:val="18"/>
          <w:color w:val="auto"/>
        </w:rPr>
      </w:pPr>
    </w:p>
    <w:p>
      <w:pPr>
        <w:ind w:left="1080" w:right="140" w:hanging="532"/>
        <w:spacing w:after="0" w:line="294"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Committee may require or permit participants to defer the settlement of all or part of an award in accordance with such terms and conditions as the Committee may establish, which may include the payment or crediting of interest or dividend equivalents on deferred amounts, and may include such credits into deferred Stock equivalents. A participant would, however, only be eligible to receive dividends or dividend equivalents in respect of any award that vests or is payable upon achievement of performance measures to the extent that the relevant performance measures are achieved and all or some of the award has</w:t>
      </w:r>
    </w:p>
    <w:p>
      <w:pPr>
        <w:spacing w:after="0" w:line="163"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been earned for the applicable period. In addition, no dividends or dividend equivalents will be paid on Options or SARs.</w:t>
      </w:r>
    </w:p>
    <w:p>
      <w:pPr>
        <w:spacing w:after="0" w:line="239" w:lineRule="exact"/>
        <w:rPr>
          <w:sz w:val="20"/>
          <w:szCs w:val="20"/>
          <w:color w:val="auto"/>
        </w:rPr>
      </w:pPr>
    </w:p>
    <w:p>
      <w:pPr>
        <w:ind w:left="1080" w:right="20" w:hanging="532"/>
        <w:spacing w:after="0" w:line="298"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Committee is permitted to condition the delivery of any shares of Stock or benefits under the Plan on satisfaction of the applicable tax withholding obligations, and may permit such withholding obligations to be satisfied through cash payment by the participant, the surrender of shares of Stock which the participant already owns, the withholding of shares of Stock that otherwise would have been delivered pursuant to the award, or the surrender of shares of Stock to which the participant is otherwise entitled under the Plan.</w:t>
      </w:r>
    </w:p>
    <w:p>
      <w:pPr>
        <w:spacing w:after="0" w:line="193"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as otherwise provided by the Committee, awards under the Plan would not be transferable except as designated by the participant by will or by the laws of descent and distribution.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Change of Control</w:t>
      </w:r>
    </w:p>
    <w:p>
      <w:pPr>
        <w:spacing w:after="0" w:line="225" w:lineRule="exact"/>
        <w:rPr>
          <w:sz w:val="20"/>
          <w:szCs w:val="20"/>
          <w:color w:val="auto"/>
        </w:rPr>
      </w:pPr>
    </w:p>
    <w:p>
      <w:pPr>
        <w:ind w:right="100" w:firstLine="614"/>
        <w:spacing w:after="0" w:line="286" w:lineRule="auto"/>
        <w:rPr>
          <w:sz w:val="20"/>
          <w:szCs w:val="20"/>
          <w:color w:val="auto"/>
        </w:rPr>
      </w:pPr>
      <w:r>
        <w:rPr>
          <w:rFonts w:ascii="Arial" w:cs="Arial" w:eastAsia="Arial" w:hAnsi="Arial"/>
          <w:sz w:val="16"/>
          <w:szCs w:val="16"/>
          <w:color w:val="auto"/>
        </w:rPr>
        <w:t>In the event of a Change of Control, unless otherwise provided in the applicable award or an individual employment agreement, all awards that are outstanding and unvested as of immediately prior to a Change of Control would remain outstanding and unvested, provided that for any outstanding performance compensation awards, (i) the performance periods that would be in effect on the date the Change of Control occurs would instead end on the date immediately prior to such Change of Control, (ii) the Committee would determine the actual level of achievement of the performance goals with respect to each such performance period as of the most recent practicable date prior to such Change of Control based upon the Company's audited or unaudited financial information or other information then available as the Committee deems relevant and (iii) to the extent earned, such performance awards will continue to be subject to any service-based vesting conditions that remain in place. If, however, (A) within two years following a Change of Control, the participant's employment with the Company and its affiliates is terminated without Cause or (B) in connection with the Change of Control, no provision is made for assumption, continuation or substitution of awards in a manner that preserves the material terms and conditions of the awards, then any awards that are unexercisable, unvested or subject to restrictions would automatically become exercisable and vested and all restrictions would lapse as of the date of such termination or immediately prior to the Change of Control, as applicable.</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term "Change of Control" is defined in the Plan to mean any one of the following events:</w:t>
      </w:r>
    </w:p>
    <w:p>
      <w:pPr>
        <w:spacing w:after="0" w:line="239" w:lineRule="exact"/>
        <w:rPr>
          <w:sz w:val="20"/>
          <w:szCs w:val="20"/>
          <w:color w:val="auto"/>
        </w:rPr>
      </w:pPr>
    </w:p>
    <w:p>
      <w:pPr>
        <w:ind w:left="1080" w:right="140" w:hanging="532"/>
        <w:spacing w:after="0" w:line="254"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person or "group" as defined in Section 13(d)(3) of the Securities Exchange Act of 1934, as amended, but excluding any employee benefit plan or plans of the Company and its Subsidiaries, becomes the beneficial owner, directly or indirectly, thirty percent (30%) or more of the combined voting power of the Company's outstanding voting securities ordinarily having the right to vote for the election of directors of the Company; provided, however, that, for purposes of this subparagraph a), any acquisition directly from the Company will not constitute a Change of Control; or</w:t>
      </w:r>
    </w:p>
    <w:p>
      <w:pPr>
        <w:spacing w:after="0" w:line="214"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fifty-one percent (51%) of the aggregate voting power of the capital stock of the surviving entity; or</w:t>
      </w:r>
    </w:p>
    <w:p>
      <w:pPr>
        <w:spacing w:after="0" w:line="187"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individuals who, as of the date on which our shareholders approve the Plan (the "Effective Date"), constitute the Board (as of the Effective Date, the "Incumbent Board")</w:t>
      </w:r>
    </w:p>
    <w:p>
      <w:pPr>
        <w:spacing w:after="0" w:line="180"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1080"/>
        <w:spacing w:after="0" w:line="208" w:lineRule="auto"/>
        <w:rPr>
          <w:sz w:val="20"/>
          <w:szCs w:val="20"/>
          <w:color w:val="auto"/>
        </w:rPr>
      </w:pPr>
      <w:r>
        <w:rPr>
          <w:rFonts w:ascii="Arial" w:cs="Arial" w:eastAsia="Arial" w:hAnsi="Arial"/>
          <w:sz w:val="16"/>
          <w:szCs w:val="16"/>
          <w:color w:val="auto"/>
        </w:rPr>
        <w:t>cease for any reason to constitute at least two-thirds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Board, or in the case of a merger or consolidation of the Company, do not constitute or cease to constitute at least two-thirds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board of directors of the surviving company (or in a case where the surviving corporation is controlled, directly or indirectly by another corporation or entity, do not constitute or cease to constitute at least two-thirds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board of such controlling corporation or do not have or cease to have at least two-thirds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seats on any body comparable to</w:t>
      </w:r>
    </w:p>
    <w:p>
      <w:pPr>
        <w:spacing w:after="0" w:line="2" w:lineRule="exact"/>
        <w:rPr>
          <w:sz w:val="20"/>
          <w:szCs w:val="20"/>
          <w:color w:val="auto"/>
        </w:rPr>
      </w:pPr>
    </w:p>
    <w:p>
      <w:pPr>
        <w:jc w:val="both"/>
        <w:ind w:left="1080" w:right="40"/>
        <w:spacing w:after="0" w:line="245" w:lineRule="auto"/>
        <w:rPr>
          <w:sz w:val="20"/>
          <w:szCs w:val="20"/>
          <w:color w:val="auto"/>
        </w:rPr>
      </w:pPr>
      <w:r>
        <w:rPr>
          <w:rFonts w:ascii="Arial" w:cs="Arial" w:eastAsia="Arial" w:hAnsi="Arial"/>
          <w:sz w:val="16"/>
          <w:szCs w:val="16"/>
          <w:color w:val="auto"/>
        </w:rPr>
        <w:t>a board of directors of such controlling entity, or if there is no body comparable to a board of directors, at least two-thirds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voting control of such controlling entity); provided that any person becoming a director (or, in the case of a controlling non-corporate entity, obtaining a position comparable to a director or obtaining a voting interest in such entity) subsequent to the Effective Date whose election, or nomination for</w:t>
      </w:r>
    </w:p>
    <w:p>
      <w:pPr>
        <w:spacing w:after="0" w:line="1" w:lineRule="exact"/>
        <w:rPr>
          <w:sz w:val="20"/>
          <w:szCs w:val="20"/>
          <w:color w:val="auto"/>
        </w:rPr>
      </w:pPr>
    </w:p>
    <w:p>
      <w:pPr>
        <w:ind w:left="1080" w:right="160"/>
        <w:spacing w:after="0" w:line="221" w:lineRule="auto"/>
        <w:rPr>
          <w:sz w:val="20"/>
          <w:szCs w:val="20"/>
          <w:color w:val="auto"/>
        </w:rPr>
      </w:pPr>
      <w:r>
        <w:rPr>
          <w:rFonts w:ascii="Arial" w:cs="Arial" w:eastAsia="Arial" w:hAnsi="Arial"/>
          <w:sz w:val="18"/>
          <w:szCs w:val="18"/>
          <w:color w:val="auto"/>
        </w:rPr>
        <w:t>election, was approved by a vote of the persons comprising at least two-thirds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Incumbent Board (other than an election or nomination of an individual whose initial assumption of office is pursuant to an actual or threatened election contest), shall be, for purposes of the Plan, considered as though such person were a member of the Incumbent Board; or</w:t>
      </w:r>
    </w:p>
    <w:p>
      <w:pPr>
        <w:spacing w:after="0" w:line="223" w:lineRule="exact"/>
        <w:rPr>
          <w:sz w:val="20"/>
          <w:szCs w:val="20"/>
          <w:color w:val="auto"/>
        </w:rPr>
      </w:pPr>
    </w:p>
    <w:p>
      <w:pPr>
        <w:ind w:left="620" w:right="1580" w:hanging="72"/>
        <w:spacing w:after="0" w:line="601" w:lineRule="auto"/>
        <w:tabs>
          <w:tab w:leader="none" w:pos="1086"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there is a liquidation or dissolution of the Company or all or substantially all of the assets of the Company have been sold. Unless defined otherwise in the award or individual employment agreement, the term "Cause" is defined in the Plan to mean:</w:t>
      </w:r>
    </w:p>
    <w:p>
      <w:pPr>
        <w:spacing w:after="0" w:line="27" w:lineRule="exact"/>
        <w:rPr>
          <w:sz w:val="20"/>
          <w:szCs w:val="20"/>
          <w:color w:val="auto"/>
        </w:rPr>
      </w:pPr>
    </w:p>
    <w:p>
      <w:pPr>
        <w:ind w:left="1080" w:right="26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material failure by the participant to perform, in a reasonable manner, his or her duties as assigned by the Company or any Subsidiary (or any successor company);</w:t>
      </w:r>
    </w:p>
    <w:p>
      <w:pPr>
        <w:spacing w:after="0" w:line="199"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material violation or breach by the participant of his or her employment agreement, consulting or other similar agreement with the Company or any Subsidiary (or successor company), if any;</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material violation or breach by the participant of any non-competition, non-solicitation, non-disclosure or other similar agreement with the Company or any Subsidiary (or successor company);</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material violation or material breach by the participant of the Company's Code of Conduct or any other Company (or successor company) policy;</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act by the participant of material dishonesty or fraud that injures the reputation or business of the Company or any Subsidiary (or successor company);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conviction of or entry of a plea of guilty or nolo contender to a felony or a crime involving moral turpitude.</w:t>
      </w:r>
    </w:p>
    <w:p>
      <w:pPr>
        <w:spacing w:after="0" w:line="225" w:lineRule="exact"/>
        <w:rPr>
          <w:sz w:val="20"/>
          <w:szCs w:val="20"/>
          <w:color w:val="auto"/>
        </w:rPr>
      </w:pPr>
    </w:p>
    <w:p>
      <w:pPr>
        <w:ind w:right="180" w:firstLine="611"/>
        <w:spacing w:after="0" w:line="268" w:lineRule="auto"/>
        <w:rPr>
          <w:sz w:val="20"/>
          <w:szCs w:val="20"/>
          <w:color w:val="auto"/>
        </w:rPr>
      </w:pPr>
      <w:r>
        <w:rPr>
          <w:rFonts w:ascii="Arial" w:cs="Arial" w:eastAsia="Arial" w:hAnsi="Arial"/>
          <w:sz w:val="18"/>
          <w:szCs w:val="18"/>
          <w:color w:val="auto"/>
        </w:rPr>
        <w:t>The good faith determination by the Committee of whether the participant's employment or service was terminated for Cause is final and binding for all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Share Limits</w:t>
      </w:r>
    </w:p>
    <w:p>
      <w:pPr>
        <w:spacing w:after="0" w:line="225" w:lineRule="exact"/>
        <w:rPr>
          <w:sz w:val="20"/>
          <w:szCs w:val="20"/>
          <w:color w:val="auto"/>
        </w:rPr>
      </w:pPr>
    </w:p>
    <w:p>
      <w:pPr>
        <w:ind w:right="220" w:firstLine="614"/>
        <w:spacing w:after="0" w:line="252" w:lineRule="auto"/>
        <w:rPr>
          <w:sz w:val="20"/>
          <w:szCs w:val="20"/>
          <w:color w:val="auto"/>
        </w:rPr>
      </w:pPr>
      <w:r>
        <w:rPr>
          <w:rFonts w:ascii="Arial" w:cs="Arial" w:eastAsia="Arial" w:hAnsi="Arial"/>
          <w:sz w:val="18"/>
          <w:szCs w:val="18"/>
          <w:color w:val="auto"/>
        </w:rPr>
        <w:t>Subject to adjustment for changes in capitalization, the maximum number of shares of Stock that may be issued as a result of the exercise of ISOs is 2,500,000. Furthermore, with respect to awards that are performance compensation awards, the maximum number of shares of Stock that is available to be granted to any one individual in any fiscal year in respect of stock-settled awards, is no more than 600,000, multiplied by the number of fiscal years (and fractions thereof) over which the performance</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criteria are measured. In the case of such awards that are cash-settled based upon the fair market value of a share of Stock, the maximum amount of cash that may be paid to any one individual in any fiscal year is equal to 600,000 shares of Stock multiplied by the fair market value as of the relevant vesting, payment or settlement date, multiplied by the number of fiscal years (and fractions thereof) over which the performance criteria are measured. In the case of all other performance compensation awards, the maximum amount of cash and other property (valued at its fair market value) other than shares of Stock that may be paid or delivered pursuant to such awards granted to any one individual in any fiscal year is equal to $10,000,000 multiplied by the number of complete fiscal years (and fractions thereof) over which the performance criteria are measured.</w:t>
      </w:r>
    </w:p>
    <w:p>
      <w:pPr>
        <w:spacing w:after="0" w:line="174" w:lineRule="exact"/>
        <w:rPr>
          <w:sz w:val="20"/>
          <w:szCs w:val="20"/>
          <w:color w:val="auto"/>
        </w:rPr>
      </w:pPr>
    </w:p>
    <w:p>
      <w:pPr>
        <w:jc w:val="both"/>
        <w:ind w:right="120" w:firstLine="614"/>
        <w:spacing w:after="0" w:line="291" w:lineRule="auto"/>
        <w:rPr>
          <w:sz w:val="20"/>
          <w:szCs w:val="20"/>
          <w:color w:val="auto"/>
        </w:rPr>
      </w:pPr>
      <w:r>
        <w:rPr>
          <w:rFonts w:ascii="Arial" w:cs="Arial" w:eastAsia="Arial" w:hAnsi="Arial"/>
          <w:sz w:val="16"/>
          <w:szCs w:val="16"/>
          <w:color w:val="auto"/>
        </w:rPr>
        <w:t>Subject to adjustment for changes in capitalization, with respect to awards granted to independent directors, in the case of such stock-settled awards, the maximum number of shares of Stock that is available to be granted to any one independent director in any fiscal year is 60,000. In the case of such awards that are cash-settled based on the fair market value of a share of Stock, the maximum amount of cash that may be paid to any one independent director in any fiscal year is equal to 60,000 shares of Stock multiplied by the per share fair market value as of the relevant vesting, payment or settlement date. In the case of all other awards granted to independent directors, the maximum amount of cash and other property (valued at its fair market value) other than shares of Stock that may be paid or delivered pursuant to such awards to any one independent director in any fiscal year is $500,000.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Minimum Vesting</w:t>
      </w:r>
    </w:p>
    <w:p>
      <w:pPr>
        <w:spacing w:after="0" w:line="225" w:lineRule="exact"/>
        <w:rPr>
          <w:sz w:val="20"/>
          <w:szCs w:val="20"/>
          <w:color w:val="auto"/>
        </w:rPr>
      </w:pPr>
    </w:p>
    <w:p>
      <w:pPr>
        <w:ind w:right="100" w:firstLine="605"/>
        <w:spacing w:after="0" w:line="302" w:lineRule="auto"/>
        <w:rPr>
          <w:sz w:val="20"/>
          <w:szCs w:val="20"/>
          <w:color w:val="auto"/>
        </w:rPr>
      </w:pPr>
      <w:r>
        <w:rPr>
          <w:rFonts w:ascii="Arial" w:cs="Arial" w:eastAsia="Arial" w:hAnsi="Arial"/>
          <w:sz w:val="15"/>
          <w:szCs w:val="15"/>
          <w:color w:val="auto"/>
        </w:rPr>
        <w:t>All equity-based awards granted under the 2020 Plan would be subject to a minimum vesting period of one (1) year from the date of grant (excluding, for this purpose, any substitute awards and shares of Stock issued pursuant to a participant's election to receive shares of Stock in lieu of cash compensation), provided that (i) up to five percent (5%) of the shares of Stock available under the Plan may be granted free of any vesting requirements, (ii) the restriction does not apply to the Committee's discretion to provide for accelerated exercisability or vesting of any award upon the death or disability of a participant and</w:t>
      </w:r>
    </w:p>
    <w:p>
      <w:pPr>
        <w:spacing w:after="0" w:line="2" w:lineRule="exact"/>
        <w:rPr>
          <w:sz w:val="20"/>
          <w:szCs w:val="20"/>
          <w:color w:val="auto"/>
        </w:rPr>
      </w:pPr>
    </w:p>
    <w:p>
      <w:pPr>
        <w:ind w:right="180" w:firstLine="8"/>
        <w:spacing w:after="0" w:line="260" w:lineRule="auto"/>
        <w:tabs>
          <w:tab w:leader="none" w:pos="30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minimum vesting period would be deemed satisfied with respect to any award granted to an independent director if such award vests on the earlier of the one-year anniversary of the date of grant and the next annual shareholder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Adjustments</w:t>
      </w:r>
    </w:p>
    <w:p>
      <w:pPr>
        <w:spacing w:after="0" w:line="225" w:lineRule="exact"/>
        <w:rPr>
          <w:sz w:val="20"/>
          <w:szCs w:val="20"/>
          <w:color w:val="auto"/>
        </w:rPr>
      </w:pPr>
    </w:p>
    <w:p>
      <w:pPr>
        <w:ind w:right="120" w:firstLine="614"/>
        <w:spacing w:after="0" w:line="290" w:lineRule="auto"/>
        <w:rPr>
          <w:sz w:val="20"/>
          <w:szCs w:val="20"/>
          <w:color w:val="auto"/>
        </w:rPr>
      </w:pPr>
      <w:r>
        <w:rPr>
          <w:rFonts w:ascii="Arial" w:cs="Arial" w:eastAsia="Arial" w:hAnsi="Arial"/>
          <w:sz w:val="16"/>
          <w:szCs w:val="16"/>
          <w:color w:val="auto"/>
        </w:rPr>
        <w:t>In the event of any equity restructuring of the Company, such as a stock dividend, stock split, spin-off, reverse stock split, split-up, rights offering, recapitalization or non-recurring cash dividend or other distribution (whether in the form of shares of Stock, other securities or other property), the Committee would adjust each award to prevent dilution or enlargement of the rights of the holders with respect to outstanding awards. In addition, in the event of any merger, consolidation, combination, exchange of shares or any similar corporate transaction (including any Change of Control), the Committee is permitted to make other adjustments in order to preserve the benefits and potential benefits of outstanding awards. Such actions may include, but are not limited to, adjustments to the aggregate number of shares available for issuance under the 2020 Plan, the annual per participant limits, the number and kind of shares subject to outstanding award, and the exercise price of any outstanding Options or SARs, as well as any other appropriate adjustments it deems necessary.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Amendment and Termination</w:t>
      </w:r>
    </w:p>
    <w:p>
      <w:pPr>
        <w:spacing w:after="0" w:line="225" w:lineRule="exact"/>
        <w:rPr>
          <w:sz w:val="20"/>
          <w:szCs w:val="20"/>
          <w:color w:val="auto"/>
        </w:rPr>
      </w:pPr>
    </w:p>
    <w:p>
      <w:pPr>
        <w:ind w:right="280" w:firstLine="611"/>
        <w:spacing w:after="0" w:line="285" w:lineRule="auto"/>
        <w:rPr>
          <w:sz w:val="20"/>
          <w:szCs w:val="20"/>
          <w:color w:val="auto"/>
        </w:rPr>
      </w:pPr>
      <w:r>
        <w:rPr>
          <w:rFonts w:ascii="Arial" w:cs="Arial" w:eastAsia="Arial" w:hAnsi="Arial"/>
          <w:sz w:val="16"/>
          <w:szCs w:val="16"/>
          <w:color w:val="auto"/>
        </w:rPr>
        <w:t>The Board is permitted, at any time, to amend or terminate the Plan, and the Board or the Committee is permitted, at any time, to amend any award outstanding thereunder, provided that no amendment or termination may, in the absence of written consent by the affected participant (or the</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participant's beneficiary if the participant is no longer living), materially and adversely affect the rights of any participant or beneficiary granted under the Plan prior to the date that the amendment is adopted by the Board, unless such amendment is made to comply with applicable law, or with tax, security exchange or accounting rules. The Board is permitted to so amend the Plan without further shareholder approval, except to the extent shareholder approval is required by law or regulation or under the rules of any securities exchange or quotation system on which shares of Stock are then listed or quoted. Thus, shareholder approval would not necessarily be required for every amendment to the Plan which might increase the cost of the Plan or alter the eligibility of persons to receive awards.</w:t>
      </w:r>
    </w:p>
    <w:p>
      <w:pPr>
        <w:spacing w:after="0" w:line="198"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The Plan would remain in effect as long as any award under it is outstanding. However, no awards is permitted to be granted under the Plan after the tenth anniversary of the date the Plan was approved by our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Federal Income Tax Consequences of Awards</w:t>
      </w:r>
    </w:p>
    <w:p>
      <w:pPr>
        <w:spacing w:after="0" w:line="231"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Plan would not be qualified under the provisions of section 401(a) of the Code and would not be subject to any of the provisions of the Employee Retirement Income Security Act of 1974, as amended.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Nonqualified Stock Options</w:t>
      </w:r>
    </w:p>
    <w:p>
      <w:pPr>
        <w:spacing w:after="0" w:line="225" w:lineRule="exact"/>
        <w:rPr>
          <w:sz w:val="20"/>
          <w:szCs w:val="20"/>
          <w:color w:val="auto"/>
        </w:rPr>
      </w:pPr>
    </w:p>
    <w:p>
      <w:pPr>
        <w:ind w:right="180" w:firstLine="605"/>
        <w:spacing w:after="0" w:line="254" w:lineRule="auto"/>
        <w:rPr>
          <w:sz w:val="20"/>
          <w:szCs w:val="20"/>
          <w:color w:val="auto"/>
        </w:rPr>
      </w:pPr>
      <w:r>
        <w:rPr>
          <w:rFonts w:ascii="Arial" w:cs="Arial" w:eastAsia="Arial" w:hAnsi="Arial"/>
          <w:sz w:val="18"/>
          <w:szCs w:val="18"/>
          <w:color w:val="auto"/>
        </w:rPr>
        <w:t>A non-qualified stock option results in no taxable income to the participant or deduction to the Company at the time it is granted. A participant exercising a non-qualified stock option will, at that time, realize taxable income (subject to withholding and employment taxes) in the amount equal to the excess, if any, of the then fair market value of the shares over the option exercise price. Subject to the applicable provisions of the IRC, the Company will be entitled to a deduction for federal income tax purposes in the year of exercise in an amount equal to the taxable income realized by the participant. The participant's tax basis in shares received upon exercise is equal to the sum of the option exercise price plus the taxable income recognized by him or her upon exercise.</w:t>
      </w:r>
    </w:p>
    <w:p>
      <w:pPr>
        <w:spacing w:after="0" w:line="198" w:lineRule="exact"/>
        <w:rPr>
          <w:sz w:val="20"/>
          <w:szCs w:val="20"/>
          <w:color w:val="auto"/>
        </w:rPr>
      </w:pPr>
    </w:p>
    <w:p>
      <w:pPr>
        <w:ind w:right="40" w:firstLine="605"/>
        <w:spacing w:after="0" w:line="290" w:lineRule="auto"/>
        <w:rPr>
          <w:sz w:val="20"/>
          <w:szCs w:val="20"/>
          <w:color w:val="auto"/>
        </w:rPr>
      </w:pPr>
      <w:r>
        <w:rPr>
          <w:rFonts w:ascii="Arial" w:cs="Arial" w:eastAsia="Arial" w:hAnsi="Arial"/>
          <w:sz w:val="16"/>
          <w:szCs w:val="16"/>
          <w:color w:val="auto"/>
        </w:rPr>
        <w:t>Any gain (or loss) upon subsequent disposition of the shares will be a long- or short-term capital gain (or loss) to the participant, depending upon the holding period of the shares. If a non-qualified option is exercised by tendering previously owned shares in payment of the option price, then, instead of the treatment described above, the following will apply: a number of new shares equal to the number of previously owned shares tendered will be considered to have been received in a tax-free exchange; the participant's basis and holding period for such number of new shares will be equal to the basis and holding period of the previously owned shares exchanged. The participant will have taxable income equal to the fair market value on the date of exercise of the number of new shares received in excess of such number of exchanged shares; the participant's basis in such excess shares will be equal to the amount of such taxable income, and the holding period in such shares will begin on the date of exercise.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Incentive Stock Options</w:t>
      </w:r>
    </w:p>
    <w:p>
      <w:pPr>
        <w:spacing w:after="0" w:line="225" w:lineRule="exact"/>
        <w:rPr>
          <w:sz w:val="20"/>
          <w:szCs w:val="20"/>
          <w:color w:val="auto"/>
        </w:rPr>
      </w:pPr>
    </w:p>
    <w:p>
      <w:pPr>
        <w:ind w:right="40" w:firstLine="605"/>
        <w:spacing w:after="0" w:line="251" w:lineRule="auto"/>
        <w:rPr>
          <w:sz w:val="20"/>
          <w:szCs w:val="20"/>
          <w:color w:val="auto"/>
        </w:rPr>
      </w:pPr>
      <w:r>
        <w:rPr>
          <w:rFonts w:ascii="Arial" w:cs="Arial" w:eastAsia="Arial" w:hAnsi="Arial"/>
          <w:sz w:val="18"/>
          <w:szCs w:val="18"/>
          <w:color w:val="auto"/>
        </w:rPr>
        <w:t>An incentive stock option results in no taxable income to the participant or a deduction to the Company at the time it is granted or exercised. However, upon exercise, the excess of the fair market value of the shares acquired over the option exercise price is an item of adjustment in computing the alternative minimum taxable income of the participant, if applicable. If the participant holds the stock received as a result of an exercise of an incentive stock option until the later of two years from the date of the grant and one year from the date of exercise, then the gain realized on disposition of the shares is treated as a long-term capital gain. If the shares are disposed of during this period, however (i.e., a "disqualifying disposition"), then the participant will realize taxable income for the year of the</w:t>
      </w:r>
    </w:p>
    <w:p>
      <w:pPr>
        <w:spacing w:after="0" w:line="4"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disposition in an amount equal to the excess, if any, of the fair market value of the shares, upon exercise of the option over the option exercise price (or, if less, the excess of the amount realized upon disposition of the shares over the option exercise price). Any additional gain or loss recognized upon the disposition will be recognized as a capital gain or loss by the participant. In the event of a disqualifying disposition, the Company will generally be entitled to a deduction, in the year of such a disposition, in an amount equal to the taxable income realized by the participant. The participant's tax basis in the shares acquired upon exercise of an incentive stock option is equal to the option exercise price paid, plus any amount includible in his or her income as a result of a disqualifying disposition.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Stock Awards</w:t>
      </w:r>
    </w:p>
    <w:p>
      <w:pPr>
        <w:spacing w:after="0" w:line="225" w:lineRule="exact"/>
        <w:rPr>
          <w:sz w:val="20"/>
          <w:szCs w:val="20"/>
          <w:color w:val="auto"/>
        </w:rPr>
      </w:pPr>
    </w:p>
    <w:p>
      <w:pPr>
        <w:ind w:firstLine="614"/>
        <w:spacing w:after="0" w:line="309" w:lineRule="auto"/>
        <w:rPr>
          <w:sz w:val="20"/>
          <w:szCs w:val="20"/>
          <w:color w:val="auto"/>
        </w:rPr>
      </w:pPr>
      <w:r>
        <w:rPr>
          <w:rFonts w:ascii="Arial" w:cs="Arial" w:eastAsia="Arial" w:hAnsi="Arial"/>
          <w:sz w:val="15"/>
          <w:szCs w:val="15"/>
          <w:color w:val="auto"/>
        </w:rPr>
        <w:t>Generally, if a participant receives a stock award under the Plan, the participant would recognize ordinary compensation income at the time the stock is received equal to the excess, if any, of the fair market value of the stock received over any amount the participant paid in exchange for the stock. If, however, the stock is not vested when it is received under the Plan (for example, if the participant is required to work for a period of time in order to have the right to sell the stock), the participant generally would not recognize income until the stock becomes vested, at which time the participant would recognize ordinary compensation income equal to the excess, if any, of the fair market value of the stock on the date it becomes vested over any amount the participant paid in exchange for the stock. The participant may, however, file an election with the Internal Revenue Service, within 30 days of the participant's receipt of the stock award, to recognize ordinary compensation income, as of the date the participant received the stock award, equal to the excess, if any, of the fair market value of the stock on the date the other stock award is granted over any amount the participant paid in exchange for the stock. If the participant is an employee of the Company, the ordinary compensation income the participant recognizes is subject to federal and state income and employment tax withholding.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Stock Appreciation Rights</w:t>
      </w:r>
    </w:p>
    <w:p>
      <w:pPr>
        <w:spacing w:after="0" w:line="225" w:lineRule="exact"/>
        <w:rPr>
          <w:sz w:val="20"/>
          <w:szCs w:val="20"/>
          <w:color w:val="auto"/>
        </w:rPr>
      </w:pPr>
    </w:p>
    <w:p>
      <w:pPr>
        <w:ind w:right="20" w:firstLine="614"/>
        <w:spacing w:after="0" w:line="254" w:lineRule="auto"/>
        <w:rPr>
          <w:sz w:val="20"/>
          <w:szCs w:val="20"/>
          <w:color w:val="auto"/>
        </w:rPr>
      </w:pPr>
      <w:r>
        <w:rPr>
          <w:rFonts w:ascii="Arial" w:cs="Arial" w:eastAsia="Arial" w:hAnsi="Arial"/>
          <w:sz w:val="18"/>
          <w:szCs w:val="18"/>
          <w:color w:val="auto"/>
        </w:rPr>
        <w:t>Generally, the recipient of a stand-alone SAR will not recognize taxable income at the time the stand-alone SAR is granted. The value received by an employee (in cash or stock) from the exercise or settlement of a SAR will be taxed as ordinary income to the employee in the year of exercise or settlement. In general, there will be no federal income tax deduction allowed to the Company upon the grant or termination of SARs. However, upon the exercise or settlement of a SAR, the Company will be entitled to a deduction equal to the amount of ordinary income the recipient is required to recognize as a result of the exercise or settlement.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Cash Incentive Awards</w:t>
      </w:r>
    </w:p>
    <w:p>
      <w:pPr>
        <w:spacing w:after="0" w:line="225" w:lineRule="exact"/>
        <w:rPr>
          <w:sz w:val="20"/>
          <w:szCs w:val="20"/>
          <w:color w:val="auto"/>
        </w:rPr>
      </w:pPr>
    </w:p>
    <w:p>
      <w:pPr>
        <w:ind w:right="80" w:firstLine="614"/>
        <w:spacing w:after="0" w:line="259" w:lineRule="auto"/>
        <w:rPr>
          <w:sz w:val="20"/>
          <w:szCs w:val="20"/>
          <w:color w:val="auto"/>
        </w:rPr>
      </w:pPr>
      <w:r>
        <w:rPr>
          <w:rFonts w:ascii="Arial" w:cs="Arial" w:eastAsia="Arial" w:hAnsi="Arial"/>
          <w:sz w:val="18"/>
          <w:szCs w:val="18"/>
          <w:color w:val="auto"/>
        </w:rPr>
        <w:t>Cash incentive awards entitle the participant to receive a cash award and, upon payment of the cash award, the participant recognizes ordinary income equal to the cash award. Generally, the Company would be entitled to a deduction for Federal income tax purposes equal to the amount of ordinary income taxable to the participant.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Section 162(m) Limitations</w:t>
      </w:r>
    </w:p>
    <w:p>
      <w:pPr>
        <w:spacing w:after="0" w:line="225" w:lineRule="exact"/>
        <w:rPr>
          <w:sz w:val="20"/>
          <w:szCs w:val="20"/>
          <w:color w:val="auto"/>
        </w:rPr>
      </w:pPr>
    </w:p>
    <w:p>
      <w:pPr>
        <w:ind w:right="80" w:firstLine="614"/>
        <w:spacing w:after="0" w:line="252" w:lineRule="auto"/>
        <w:rPr>
          <w:sz w:val="20"/>
          <w:szCs w:val="20"/>
          <w:color w:val="auto"/>
        </w:rPr>
      </w:pPr>
      <w:r>
        <w:rPr>
          <w:rFonts w:ascii="Arial" w:cs="Arial" w:eastAsia="Arial" w:hAnsi="Arial"/>
          <w:sz w:val="18"/>
          <w:szCs w:val="18"/>
          <w:color w:val="auto"/>
        </w:rPr>
        <w:t>Section 162(m) of the Code generally limits a public company's federal income tax deduction for compensation paid to "covered employees" (in general, the CEO, the CFO, and the three other most highly compensated executive officers for any year beginning with fiscal year 2017) in each fiscal year to $1 million. Thus, certain compensation, including compensation attributable to awards granted under the 2020 Plan, paid by the Company to any NEO (and to any person who was a named executive</w:t>
      </w:r>
    </w:p>
    <w:p>
      <w:pPr>
        <w:spacing w:after="0" w:line="1" w:lineRule="exact"/>
        <w:rPr>
          <w:sz w:val="20"/>
          <w:szCs w:val="20"/>
          <w:color w:val="auto"/>
        </w:rPr>
      </w:pPr>
    </w:p>
    <w:p>
      <w:pPr>
        <w:ind w:left="6360"/>
        <w:spacing w:after="0"/>
        <w:tabs>
          <w:tab w:leader="none" w:pos="9060" w:val="left"/>
          <w:tab w:leader="none" w:pos="9300" w:val="left"/>
          <w:tab w:leader="none" w:pos="110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officer for any year beginning with fiscal year 2017) may be nondeductible to the Company due to the application of Section 162(m) of the Code.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Section 409A</w:t>
      </w:r>
    </w:p>
    <w:p>
      <w:pPr>
        <w:spacing w:after="0" w:line="225" w:lineRule="exact"/>
        <w:rPr>
          <w:sz w:val="20"/>
          <w:szCs w:val="20"/>
          <w:color w:val="auto"/>
        </w:rPr>
      </w:pPr>
    </w:p>
    <w:p>
      <w:pPr>
        <w:ind w:right="140" w:firstLine="614"/>
        <w:spacing w:after="0" w:line="288" w:lineRule="auto"/>
        <w:rPr>
          <w:sz w:val="20"/>
          <w:szCs w:val="20"/>
          <w:color w:val="auto"/>
        </w:rPr>
      </w:pPr>
      <w:r>
        <w:rPr>
          <w:rFonts w:ascii="Arial" w:cs="Arial" w:eastAsia="Arial" w:hAnsi="Arial"/>
          <w:sz w:val="16"/>
          <w:szCs w:val="16"/>
          <w:color w:val="auto"/>
        </w:rPr>
        <w:t>If any award constitutes a "nonqualified deferred compensation plan" under Section 409A of the Code (a "Section 409A Plan"), then the award is subject to certain additional requirements discussed in the Plan, if and to the extent required to comply with Section 409A of the Code. Any award agreement for any award that the Committee believes may constitute a Section 409A Plan, and the provisions of the Plan applicable to that award, is construed in a manner consistent with the applicable requirements of Section 409A, and the Committee, in its sole discretion and without the participant's consent, may amend any award agreement (and the provisions of the Plan applicable thereto) if and to the extent that the Committee determines that such amendment is necessary or appropriate to comply with the requirements of Section 409A of the Code. In the event of a Change of Control, any outstanding awards that constitute deferred compensation is paid in accordance with Section 409A of the Code. If any award agreement or award is deemed not to comply with Section 409A of the Code, then neither the Company, the Committee nor its or their designees or agents is liable to any participant or other person for actions, decisions or determinations made in good faith.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8E0"/>
        </w:rPr>
        <w:t>Importance of Consulting Tax Adviser</w:t>
      </w:r>
    </w:p>
    <w:p>
      <w:pPr>
        <w:spacing w:after="0" w:line="225"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The information set forth above is a summary only and does not purport to be complete. It is for general information only and is not intended or written to be used as tax advice. It is based on the U.S. federal income tax laws currently in effect and does not address state, local or foreign tax consequences. This summary also does not purport to deal with all material aspects of U.S. federal taxation that may be relevant to a participant's personal investment circumstances and does not discuss the tax consequences of those participants who are subject to special treatment under any country's income tax laws. Participants are strongly urged to consult with their tax advisor regarding the specific tax consequences (including the federal, state, local and foreign tax consequences) that may affect participants in the Plan and of potential changes in applicable tax laws.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New Plan Benefits Table</w:t>
      </w:r>
    </w:p>
    <w:p>
      <w:pPr>
        <w:spacing w:after="0" w:line="231" w:lineRule="exact"/>
        <w:rPr>
          <w:sz w:val="20"/>
          <w:szCs w:val="20"/>
          <w:color w:val="auto"/>
        </w:rPr>
      </w:pPr>
    </w:p>
    <w:p>
      <w:pPr>
        <w:ind w:right="240" w:firstLine="605"/>
        <w:spacing w:after="0" w:line="251" w:lineRule="auto"/>
        <w:rPr>
          <w:sz w:val="20"/>
          <w:szCs w:val="20"/>
          <w:color w:val="auto"/>
        </w:rPr>
      </w:pPr>
      <w:r>
        <w:rPr>
          <w:rFonts w:ascii="Arial" w:cs="Arial" w:eastAsia="Arial" w:hAnsi="Arial"/>
          <w:sz w:val="18"/>
          <w:szCs w:val="18"/>
          <w:color w:val="auto"/>
        </w:rPr>
        <w:t>A new plan benefits table for the Plan and the benefits or amounts that would have been received by or allocated to certain participants for the last completed fiscal year under the Plan if the Plan was then in effect, as described in the federal proxy rules, is not provided because all awards made under the Plan will be made at the Board's or Committee's discretion, as applicable. Therefore, the benefits and amounts that would be received or allocated under the Plan are not determinable at this time. However, please refer to the Summary Compensation Table, which includes certain information regarding awards granted to our NEOs during the fiscal year ended December 31, 2019. Equity grants to our non-employee directors are described under "Director Compensation".</w:t>
      </w:r>
    </w:p>
    <w:p>
      <w:pPr>
        <w:spacing w:after="0" w:line="4"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0048E0"/>
        </w:rPr>
        <w:t>IX.</w:t>
      </w:r>
      <w:r>
        <w:rPr>
          <w:sz w:val="20"/>
          <w:szCs w:val="20"/>
          <w:color w:val="auto"/>
        </w:rPr>
        <w:tab/>
      </w:r>
      <w:r>
        <w:rPr>
          <w:rFonts w:ascii="Arial" w:cs="Arial" w:eastAsia="Arial" w:hAnsi="Arial"/>
          <w:sz w:val="18"/>
          <w:szCs w:val="18"/>
          <w:b w:val="1"/>
          <w:bCs w:val="1"/>
          <w:color w:val="0048E0"/>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30, 2020 (the "Reporting Date"), by (i) each person known to us to beneficially own more than 5% of our outstanding common stock; (ii) our named executive officers for the fiscal year ended December 31, 2019; (iii) each director and nominee for director and (iv) all of the executive officers and directors as a group. Except as shown in the table, no other person is known by us to beneficially own more than 5% of our outstanding common stock.</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Number of Shares of</w:t>
            </w:r>
          </w:p>
        </w:tc>
        <w:tc>
          <w:tcPr>
            <w:tcW w:w="940" w:type="dxa"/>
            <w:vAlign w:val="bottom"/>
          </w:tcPr>
          <w:p>
            <w:pPr>
              <w:spacing w:after="0"/>
              <w:rPr>
                <w:sz w:val="13"/>
                <w:szCs w:val="13"/>
                <w:color w:val="auto"/>
              </w:rPr>
            </w:pPr>
          </w:p>
        </w:tc>
      </w:tr>
      <w:tr>
        <w:trPr>
          <w:trHeight w:val="144"/>
        </w:trPr>
        <w:tc>
          <w:tcPr>
            <w:tcW w:w="2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Common Stock</w:t>
            </w:r>
          </w:p>
        </w:tc>
        <w:tc>
          <w:tcPr>
            <w:tcW w:w="940" w:type="dxa"/>
            <w:vAlign w:val="bottom"/>
          </w:tcPr>
          <w:p>
            <w:pPr>
              <w:spacing w:after="0"/>
              <w:rPr>
                <w:sz w:val="12"/>
                <w:szCs w:val="12"/>
                <w:color w:val="auto"/>
              </w:rPr>
            </w:pPr>
          </w:p>
        </w:tc>
      </w:tr>
      <w:tr>
        <w:trPr>
          <w:trHeight w:val="193"/>
        </w:trPr>
        <w:tc>
          <w:tcPr>
            <w:tcW w:w="6060" w:type="dxa"/>
            <w:vAlign w:val="bottom"/>
            <w:gridSpan w:val="2"/>
          </w:tcPr>
          <w:p>
            <w:pPr>
              <w:ind w:left="20"/>
              <w:spacing w:after="0" w:line="193" w:lineRule="exact"/>
              <w:rPr>
                <w:sz w:val="20"/>
                <w:szCs w:val="20"/>
                <w:color w:val="auto"/>
              </w:rPr>
            </w:pPr>
            <w:r>
              <w:rPr>
                <w:rFonts w:ascii="Arial" w:cs="Arial" w:eastAsia="Arial" w:hAnsi="Arial"/>
                <w:sz w:val="13"/>
                <w:szCs w:val="13"/>
                <w:b w:val="1"/>
                <w:bCs w:val="1"/>
                <w:color w:val="auto"/>
              </w:rPr>
              <w:t>Name of Beneficial Owner</w:t>
            </w:r>
            <w:r>
              <w:rPr>
                <w:rFonts w:ascii="Arial" w:cs="Arial" w:eastAsia="Arial" w:hAnsi="Arial"/>
                <w:sz w:val="22"/>
                <w:szCs w:val="22"/>
                <w:b w:val="1"/>
                <w:bCs w:val="1"/>
                <w:color w:val="auto"/>
                <w:vertAlign w:val="superscript"/>
              </w:rPr>
              <w:t>(1)</w:t>
            </w:r>
          </w:p>
        </w:tc>
        <w:tc>
          <w:tcPr>
            <w:tcW w:w="180" w:type="dxa"/>
            <w:vAlign w:val="bottom"/>
          </w:tcPr>
          <w:p>
            <w:pPr>
              <w:spacing w:after="0"/>
              <w:rPr>
                <w:sz w:val="16"/>
                <w:szCs w:val="16"/>
                <w:color w:val="auto"/>
              </w:rPr>
            </w:pPr>
          </w:p>
        </w:tc>
        <w:tc>
          <w:tcPr>
            <w:tcW w:w="1800" w:type="dxa"/>
            <w:vAlign w:val="bottom"/>
            <w:gridSpan w:val="2"/>
          </w:tcPr>
          <w:p>
            <w:pPr>
              <w:jc w:val="center"/>
              <w:ind w:right="160"/>
              <w:spacing w:after="0" w:line="193" w:lineRule="exact"/>
              <w:rPr>
                <w:sz w:val="20"/>
                <w:szCs w:val="20"/>
                <w:color w:val="auto"/>
              </w:rPr>
            </w:pPr>
            <w:r>
              <w:rPr>
                <w:rFonts w:ascii="Arial" w:cs="Arial" w:eastAsia="Arial" w:hAnsi="Arial"/>
                <w:sz w:val="13"/>
                <w:szCs w:val="13"/>
                <w:b w:val="1"/>
                <w:bCs w:val="1"/>
                <w:color w:val="auto"/>
                <w:w w:val="90"/>
              </w:rPr>
              <w:t>Beneficially Owned</w:t>
            </w:r>
            <w:r>
              <w:rPr>
                <w:rFonts w:ascii="Arial" w:cs="Arial" w:eastAsia="Arial" w:hAnsi="Arial"/>
                <w:sz w:val="22"/>
                <w:szCs w:val="22"/>
                <w:b w:val="1"/>
                <w:bCs w:val="1"/>
                <w:color w:val="auto"/>
                <w:w w:val="90"/>
                <w:vertAlign w:val="superscript"/>
              </w:rPr>
              <w:t>(2)</w:t>
            </w:r>
          </w:p>
        </w:tc>
        <w:tc>
          <w:tcPr>
            <w:tcW w:w="940" w:type="dxa"/>
            <w:vAlign w:val="bottom"/>
          </w:tcPr>
          <w:p>
            <w:pPr>
              <w:ind w:left="200"/>
              <w:spacing w:after="0" w:line="193" w:lineRule="exact"/>
              <w:rPr>
                <w:sz w:val="20"/>
                <w:szCs w:val="20"/>
                <w:color w:val="auto"/>
              </w:rPr>
            </w:pPr>
            <w:r>
              <w:rPr>
                <w:rFonts w:ascii="Arial" w:cs="Arial" w:eastAsia="Arial" w:hAnsi="Arial"/>
                <w:sz w:val="13"/>
                <w:szCs w:val="13"/>
                <w:b w:val="1"/>
                <w:bCs w:val="1"/>
                <w:color w:val="auto"/>
              </w:rPr>
              <w:t>Percent</w:t>
            </w:r>
            <w:r>
              <w:rPr>
                <w:rFonts w:ascii="Arial" w:cs="Arial" w:eastAsia="Arial" w:hAnsi="Arial"/>
                <w:sz w:val="22"/>
                <w:szCs w:val="22"/>
                <w:b w:val="1"/>
                <w:bCs w:val="1"/>
                <w:color w:val="auto"/>
                <w:vertAlign w:val="superscript"/>
              </w:rPr>
              <w:t>(2)</w:t>
            </w:r>
          </w:p>
        </w:tc>
      </w:tr>
      <w:tr>
        <w:trPr>
          <w:trHeight w:val="209"/>
        </w:trPr>
        <w:tc>
          <w:tcPr>
            <w:tcW w:w="6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Holding more than 5%</w:t>
            </w:r>
          </w:p>
        </w:tc>
        <w:tc>
          <w:tcPr>
            <w:tcW w:w="18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57"/>
        </w:trPr>
        <w:tc>
          <w:tcPr>
            <w:tcW w:w="60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(3)</w:t>
            </w:r>
          </w:p>
        </w:tc>
        <w:tc>
          <w:tcPr>
            <w:tcW w:w="1980" w:type="dxa"/>
            <w:vAlign w:val="bottom"/>
            <w:gridSpan w:val="3"/>
          </w:tcPr>
          <w:p>
            <w:pPr>
              <w:jc w:val="right"/>
              <w:ind w:right="160"/>
              <w:spacing w:after="0"/>
              <w:rPr>
                <w:sz w:val="20"/>
                <w:szCs w:val="20"/>
                <w:color w:val="auto"/>
              </w:rPr>
            </w:pPr>
            <w:r>
              <w:rPr>
                <w:rFonts w:ascii="Arial" w:cs="Arial" w:eastAsia="Arial" w:hAnsi="Arial"/>
                <w:sz w:val="18"/>
                <w:szCs w:val="18"/>
                <w:color w:val="auto"/>
              </w:rPr>
              <w:t>7,740,753</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11.8%</w:t>
            </w:r>
          </w:p>
        </w:tc>
      </w:tr>
      <w:tr>
        <w:trPr>
          <w:trHeight w:val="257"/>
        </w:trPr>
        <w:tc>
          <w:tcPr>
            <w:tcW w:w="60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The Vanguard Group, Inc.</w:t>
            </w:r>
            <w:r>
              <w:rPr>
                <w:rFonts w:ascii="Arial" w:cs="Arial" w:eastAsia="Arial" w:hAnsi="Arial"/>
                <w:sz w:val="29"/>
                <w:szCs w:val="29"/>
                <w:color w:val="auto"/>
                <w:vertAlign w:val="superscript"/>
              </w:rPr>
              <w:t>(4)</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6,021,926</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w:t>
            </w:r>
          </w:p>
        </w:tc>
      </w:tr>
      <w:tr>
        <w:trPr>
          <w:trHeight w:val="257"/>
        </w:trPr>
        <w:tc>
          <w:tcPr>
            <w:tcW w:w="60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Dimensional Fund Advisors LP</w:t>
            </w:r>
            <w:r>
              <w:rPr>
                <w:rFonts w:ascii="Arial" w:cs="Arial" w:eastAsia="Arial" w:hAnsi="Arial"/>
                <w:sz w:val="29"/>
                <w:szCs w:val="29"/>
                <w:color w:val="auto"/>
                <w:vertAlign w:val="superscript"/>
              </w:rPr>
              <w:t>(5)</w:t>
            </w:r>
          </w:p>
        </w:tc>
        <w:tc>
          <w:tcPr>
            <w:tcW w:w="1980" w:type="dxa"/>
            <w:vAlign w:val="bottom"/>
            <w:gridSpan w:val="3"/>
          </w:tcPr>
          <w:p>
            <w:pPr>
              <w:jc w:val="right"/>
              <w:ind w:right="160"/>
              <w:spacing w:after="0"/>
              <w:rPr>
                <w:sz w:val="20"/>
                <w:szCs w:val="20"/>
                <w:color w:val="auto"/>
              </w:rPr>
            </w:pPr>
            <w:r>
              <w:rPr>
                <w:rFonts w:ascii="Arial" w:cs="Arial" w:eastAsia="Arial" w:hAnsi="Arial"/>
                <w:sz w:val="18"/>
                <w:szCs w:val="18"/>
                <w:color w:val="auto"/>
              </w:rPr>
              <w:t>5,367,158</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8.2%</w:t>
            </w:r>
          </w:p>
        </w:tc>
      </w:tr>
      <w:tr>
        <w:trPr>
          <w:trHeight w:val="432"/>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Named executive officers and directors:</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57"/>
        </w:trPr>
        <w:tc>
          <w:tcPr>
            <w:tcW w:w="60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Michael J. Kasbar</w:t>
            </w:r>
            <w:r>
              <w:rPr>
                <w:rFonts w:ascii="Arial" w:cs="Arial" w:eastAsia="Arial" w:hAnsi="Arial"/>
                <w:sz w:val="29"/>
                <w:szCs w:val="29"/>
                <w:color w:val="auto"/>
                <w:vertAlign w:val="superscript"/>
              </w:rPr>
              <w:t>(6)</w:t>
            </w:r>
          </w:p>
        </w:tc>
        <w:tc>
          <w:tcPr>
            <w:tcW w:w="1980" w:type="dxa"/>
            <w:vAlign w:val="bottom"/>
            <w:gridSpan w:val="3"/>
          </w:tcPr>
          <w:p>
            <w:pPr>
              <w:jc w:val="right"/>
              <w:ind w:right="160"/>
              <w:spacing w:after="0"/>
              <w:rPr>
                <w:sz w:val="20"/>
                <w:szCs w:val="20"/>
                <w:color w:val="auto"/>
              </w:rPr>
            </w:pPr>
            <w:r>
              <w:rPr>
                <w:rFonts w:ascii="Arial" w:cs="Arial" w:eastAsia="Arial" w:hAnsi="Arial"/>
                <w:sz w:val="18"/>
                <w:szCs w:val="18"/>
                <w:color w:val="auto"/>
              </w:rPr>
              <w:t>719,820</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1.1%</w:t>
            </w:r>
          </w:p>
        </w:tc>
      </w:tr>
      <w:tr>
        <w:trPr>
          <w:trHeight w:val="257"/>
        </w:trPr>
        <w:tc>
          <w:tcPr>
            <w:tcW w:w="60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Ira M. Birns</w:t>
            </w:r>
            <w:r>
              <w:rPr>
                <w:rFonts w:ascii="Arial" w:cs="Arial" w:eastAsia="Arial" w:hAnsi="Arial"/>
                <w:sz w:val="29"/>
                <w:szCs w:val="29"/>
                <w:color w:val="auto"/>
                <w:vertAlign w:val="superscript"/>
              </w:rPr>
              <w:t>(7)</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78,259</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56"/>
        </w:trPr>
        <w:tc>
          <w:tcPr>
            <w:tcW w:w="60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Jeffrey P. Smith</w:t>
            </w:r>
            <w:r>
              <w:rPr>
                <w:rFonts w:ascii="Arial" w:cs="Arial" w:eastAsia="Arial" w:hAnsi="Arial"/>
                <w:sz w:val="29"/>
                <w:szCs w:val="29"/>
                <w:color w:val="auto"/>
                <w:vertAlign w:val="superscript"/>
              </w:rPr>
              <w:t>(8)</w:t>
            </w:r>
          </w:p>
        </w:tc>
        <w:tc>
          <w:tcPr>
            <w:tcW w:w="1980" w:type="dxa"/>
            <w:vAlign w:val="bottom"/>
            <w:gridSpan w:val="3"/>
          </w:tcPr>
          <w:p>
            <w:pPr>
              <w:jc w:val="right"/>
              <w:ind w:right="160"/>
              <w:spacing w:after="0"/>
              <w:rPr>
                <w:sz w:val="20"/>
                <w:szCs w:val="20"/>
                <w:color w:val="auto"/>
              </w:rPr>
            </w:pPr>
            <w:r>
              <w:rPr>
                <w:rFonts w:ascii="Arial" w:cs="Arial" w:eastAsia="Arial" w:hAnsi="Arial"/>
                <w:sz w:val="18"/>
                <w:szCs w:val="18"/>
                <w:color w:val="auto"/>
              </w:rPr>
              <w:t>5,905</w:t>
            </w:r>
          </w:p>
        </w:tc>
        <w:tc>
          <w:tcPr>
            <w:tcW w:w="9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Michael J. Crosby</w:t>
            </w:r>
            <w:r>
              <w:rPr>
                <w:rFonts w:ascii="Arial" w:cs="Arial" w:eastAsia="Arial" w:hAnsi="Arial"/>
                <w:sz w:val="29"/>
                <w:szCs w:val="29"/>
                <w:color w:val="auto"/>
                <w:vertAlign w:val="superscript"/>
              </w:rPr>
              <w:t>(9)</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42,530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John P. Rau</w:t>
            </w:r>
            <w:r>
              <w:rPr>
                <w:rFonts w:ascii="Arial" w:cs="Arial" w:eastAsia="Arial" w:hAnsi="Arial"/>
                <w:sz w:val="29"/>
                <w:szCs w:val="29"/>
                <w:color w:val="auto"/>
                <w:vertAlign w:val="superscript"/>
              </w:rPr>
              <w:t>(10)</w:t>
            </w:r>
          </w:p>
        </w:tc>
        <w:tc>
          <w:tcPr>
            <w:tcW w:w="1980" w:type="dxa"/>
            <w:vAlign w:val="bottom"/>
            <w:gridSpan w:val="3"/>
          </w:tcPr>
          <w:p>
            <w:pPr>
              <w:jc w:val="right"/>
              <w:ind w:right="160"/>
              <w:spacing w:after="0"/>
              <w:rPr>
                <w:sz w:val="20"/>
                <w:szCs w:val="20"/>
                <w:color w:val="auto"/>
              </w:rPr>
            </w:pPr>
            <w:r>
              <w:rPr>
                <w:rFonts w:ascii="Arial" w:cs="Arial" w:eastAsia="Arial" w:hAnsi="Arial"/>
                <w:sz w:val="18"/>
                <w:szCs w:val="18"/>
                <w:color w:val="auto"/>
              </w:rPr>
              <w:t>57,118</w:t>
            </w:r>
          </w:p>
        </w:tc>
        <w:tc>
          <w:tcPr>
            <w:tcW w:w="9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Ken Bakshi</w:t>
            </w:r>
            <w:r>
              <w:rPr>
                <w:rFonts w:ascii="Arial" w:cs="Arial" w:eastAsia="Arial" w:hAnsi="Arial"/>
                <w:sz w:val="29"/>
                <w:szCs w:val="29"/>
                <w:color w:val="auto"/>
                <w:vertAlign w:val="superscript"/>
              </w:rPr>
              <w:t>(11)</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53,180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56"/>
        </w:trPr>
        <w:tc>
          <w:tcPr>
            <w:tcW w:w="60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Jorge L. Benitez</w:t>
            </w:r>
            <w:r>
              <w:rPr>
                <w:rFonts w:ascii="Arial" w:cs="Arial" w:eastAsia="Arial" w:hAnsi="Arial"/>
                <w:sz w:val="29"/>
                <w:szCs w:val="29"/>
                <w:color w:val="auto"/>
                <w:vertAlign w:val="superscript"/>
              </w:rPr>
              <w:t>(12)</w:t>
            </w:r>
          </w:p>
        </w:tc>
        <w:tc>
          <w:tcPr>
            <w:tcW w:w="1980" w:type="dxa"/>
            <w:vAlign w:val="bottom"/>
            <w:gridSpan w:val="3"/>
          </w:tcPr>
          <w:p>
            <w:pPr>
              <w:jc w:val="right"/>
              <w:ind w:right="160"/>
              <w:spacing w:after="0"/>
              <w:rPr>
                <w:sz w:val="20"/>
                <w:szCs w:val="20"/>
                <w:color w:val="auto"/>
              </w:rPr>
            </w:pPr>
            <w:r>
              <w:rPr>
                <w:rFonts w:ascii="Arial" w:cs="Arial" w:eastAsia="Arial" w:hAnsi="Arial"/>
                <w:sz w:val="18"/>
                <w:szCs w:val="18"/>
                <w:color w:val="auto"/>
              </w:rPr>
              <w:t>29,589</w:t>
            </w:r>
          </w:p>
        </w:tc>
        <w:tc>
          <w:tcPr>
            <w:tcW w:w="9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Sharda Cherwoo</w:t>
            </w:r>
            <w:r>
              <w:rPr>
                <w:rFonts w:ascii="Arial" w:cs="Arial" w:eastAsia="Arial" w:hAnsi="Arial"/>
                <w:sz w:val="29"/>
                <w:szCs w:val="29"/>
                <w:color w:val="auto"/>
                <w:vertAlign w:val="superscript"/>
              </w:rPr>
              <w:t>(13)</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1,590</w:t>
            </w:r>
          </w:p>
        </w:tc>
        <w:tc>
          <w:tcPr>
            <w:tcW w:w="940" w:type="dxa"/>
            <w:vAlign w:val="bottom"/>
            <w:shd w:val="clear" w:color="auto" w:fill="CCEEFF"/>
          </w:tcPr>
          <w:p>
            <w:pPr>
              <w:spacing w:after="0"/>
              <w:rPr>
                <w:sz w:val="22"/>
                <w:szCs w:val="22"/>
                <w:color w:val="auto"/>
              </w:rPr>
            </w:pPr>
          </w:p>
        </w:tc>
      </w:tr>
      <w:tr>
        <w:trPr>
          <w:trHeight w:val="257"/>
        </w:trPr>
        <w:tc>
          <w:tcPr>
            <w:tcW w:w="60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Stephen Gold</w:t>
            </w:r>
            <w:r>
              <w:rPr>
                <w:rFonts w:ascii="Arial" w:cs="Arial" w:eastAsia="Arial" w:hAnsi="Arial"/>
                <w:sz w:val="29"/>
                <w:szCs w:val="29"/>
                <w:color w:val="auto"/>
                <w:vertAlign w:val="superscript"/>
              </w:rPr>
              <w:t>(14)</w:t>
            </w:r>
          </w:p>
        </w:tc>
        <w:tc>
          <w:tcPr>
            <w:tcW w:w="1980" w:type="dxa"/>
            <w:vAlign w:val="bottom"/>
            <w:gridSpan w:val="3"/>
          </w:tcPr>
          <w:p>
            <w:pPr>
              <w:jc w:val="right"/>
              <w:ind w:right="160"/>
              <w:spacing w:after="0"/>
              <w:rPr>
                <w:sz w:val="20"/>
                <w:szCs w:val="20"/>
                <w:color w:val="auto"/>
              </w:rPr>
            </w:pPr>
            <w:r>
              <w:rPr>
                <w:rFonts w:ascii="Arial" w:cs="Arial" w:eastAsia="Arial" w:hAnsi="Arial"/>
                <w:sz w:val="18"/>
                <w:szCs w:val="18"/>
                <w:color w:val="auto"/>
              </w:rPr>
              <w:t>15,487</w:t>
            </w:r>
          </w:p>
        </w:tc>
        <w:tc>
          <w:tcPr>
            <w:tcW w:w="9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Richard A. Kassar</w:t>
            </w:r>
            <w:r>
              <w:rPr>
                <w:rFonts w:ascii="Arial" w:cs="Arial" w:eastAsia="Arial" w:hAnsi="Arial"/>
                <w:sz w:val="29"/>
                <w:szCs w:val="29"/>
                <w:color w:val="auto"/>
                <w:vertAlign w:val="superscript"/>
              </w:rPr>
              <w:t>(15)</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53,697</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56"/>
        </w:trPr>
        <w:tc>
          <w:tcPr>
            <w:tcW w:w="60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John L. Manley</w:t>
            </w:r>
            <w:r>
              <w:rPr>
                <w:rFonts w:ascii="Arial" w:cs="Arial" w:eastAsia="Arial" w:hAnsi="Arial"/>
                <w:sz w:val="29"/>
                <w:szCs w:val="29"/>
                <w:color w:val="auto"/>
                <w:vertAlign w:val="superscript"/>
              </w:rPr>
              <w:t>(16)</w:t>
            </w:r>
          </w:p>
        </w:tc>
        <w:tc>
          <w:tcPr>
            <w:tcW w:w="1980" w:type="dxa"/>
            <w:vAlign w:val="bottom"/>
            <w:gridSpan w:val="3"/>
          </w:tcPr>
          <w:p>
            <w:pPr>
              <w:jc w:val="right"/>
              <w:ind w:right="160"/>
              <w:spacing w:after="0"/>
              <w:rPr>
                <w:sz w:val="20"/>
                <w:szCs w:val="20"/>
                <w:color w:val="auto"/>
              </w:rPr>
            </w:pPr>
            <w:r>
              <w:rPr>
                <w:rFonts w:ascii="Arial" w:cs="Arial" w:eastAsia="Arial" w:hAnsi="Arial"/>
                <w:sz w:val="18"/>
                <w:szCs w:val="18"/>
                <w:color w:val="auto"/>
              </w:rPr>
              <w:t>35,028</w:t>
            </w:r>
          </w:p>
        </w:tc>
        <w:tc>
          <w:tcPr>
            <w:tcW w:w="9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Stephen K. Roddenberry</w:t>
            </w:r>
            <w:r>
              <w:rPr>
                <w:rFonts w:ascii="Arial" w:cs="Arial" w:eastAsia="Arial" w:hAnsi="Arial"/>
                <w:sz w:val="29"/>
                <w:szCs w:val="29"/>
                <w:color w:val="auto"/>
                <w:vertAlign w:val="superscript"/>
              </w:rPr>
              <w:t>(17)</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91,579</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56"/>
        </w:trPr>
        <w:tc>
          <w:tcPr>
            <w:tcW w:w="60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Paul H. Stebbins</w:t>
            </w:r>
            <w:r>
              <w:rPr>
                <w:rFonts w:ascii="Arial" w:cs="Arial" w:eastAsia="Arial" w:hAnsi="Arial"/>
                <w:sz w:val="29"/>
                <w:szCs w:val="29"/>
                <w:color w:val="auto"/>
                <w:vertAlign w:val="superscript"/>
              </w:rPr>
              <w:t>(18)</w:t>
            </w:r>
          </w:p>
        </w:tc>
        <w:tc>
          <w:tcPr>
            <w:tcW w:w="1980" w:type="dxa"/>
            <w:vAlign w:val="bottom"/>
            <w:gridSpan w:val="3"/>
          </w:tcPr>
          <w:p>
            <w:pPr>
              <w:jc w:val="right"/>
              <w:ind w:right="160"/>
              <w:spacing w:after="0"/>
              <w:rPr>
                <w:sz w:val="20"/>
                <w:szCs w:val="20"/>
                <w:color w:val="auto"/>
              </w:rPr>
            </w:pPr>
            <w:r>
              <w:rPr>
                <w:rFonts w:ascii="Arial" w:cs="Arial" w:eastAsia="Arial" w:hAnsi="Arial"/>
                <w:sz w:val="18"/>
                <w:szCs w:val="18"/>
                <w:color w:val="auto"/>
              </w:rPr>
              <w:t>395,993</w:t>
            </w:r>
          </w:p>
        </w:tc>
        <w:tc>
          <w:tcPr>
            <w:tcW w:w="9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All executive officers and directors as a group (14 persons)</w:t>
            </w:r>
            <w:r>
              <w:rPr>
                <w:rFonts w:ascii="Arial" w:cs="Arial" w:eastAsia="Arial" w:hAnsi="Arial"/>
                <w:sz w:val="29"/>
                <w:szCs w:val="29"/>
                <w:color w:val="auto"/>
                <w:vertAlign w:val="superscript"/>
              </w:rPr>
              <w:t>(19)</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1,612,438</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w:t>
            </w:r>
          </w:p>
        </w:tc>
      </w:tr>
      <w:tr>
        <w:trPr>
          <w:trHeight w:val="108"/>
        </w:trPr>
        <w:tc>
          <w:tcPr>
            <w:tcW w:w="266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r>
    </w:tbl>
    <w:p>
      <w:pPr>
        <w:spacing w:after="0" w:line="221" w:lineRule="exact"/>
        <w:rPr>
          <w:sz w:val="20"/>
          <w:szCs w:val="20"/>
          <w:color w:val="auto"/>
        </w:rPr>
      </w:pPr>
    </w:p>
    <w:p>
      <w:pPr>
        <w:ind w:left="1680" w:hanging="549"/>
        <w:spacing w:after="0"/>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right="580" w:hanging="549"/>
        <w:spacing w:after="0" w:line="268" w:lineRule="auto"/>
        <w:tabs>
          <w:tab w:leader="none" w:pos="1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beneficial owners identified is c/o World Fuel Services Corporation, 9800 Northwest 41st Street, Miami, Florida 33178.</w:t>
      </w:r>
    </w:p>
    <w:p>
      <w:pPr>
        <w:spacing w:after="0" w:line="199" w:lineRule="exact"/>
        <w:rPr>
          <w:rFonts w:ascii="Arial" w:cs="Arial" w:eastAsia="Arial" w:hAnsi="Arial"/>
          <w:sz w:val="18"/>
          <w:szCs w:val="18"/>
          <w:color w:val="auto"/>
        </w:rPr>
      </w:pPr>
    </w:p>
    <w:p>
      <w:pPr>
        <w:ind w:left="1680" w:right="80" w:hanging="549"/>
        <w:spacing w:after="0" w:line="282" w:lineRule="auto"/>
        <w:tabs>
          <w:tab w:leader="none" w:pos="1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number and percentage of shares beneficially owned by each person has been determined in accordance with Rule 13d-3 of the Exchange Act and the information is not necessarily indicative of beneficial ownership for any other purpose. Accordingly, in determining the percentage of shares beneficially owned by each person, shares that may be acquired by such person within 60 days of the Reporting Date are deemed outstanding for purposes of determining the total number of outstanding shares for such person and are not deemed outstanding for such purpose for any other person. Unless otherwise indicated in the footnotes or table, each person or entity has sole voting and investment power with respect to the shares shown as beneficially owned. The number of shares of common stock that could be obtained on exercise of SSARs is calculated by (a) multiplying the number of outstanding SSARs which can be exercised within 60 days of the Reporting Date, by the difference between the closing price of $23.65 for our common stock on the Reporting Date and the SSAR exercise price and (b) dividing such number by $23.65. The percentages shown are based on 65,504,262 shares of common stock issued and outstanding on the Reporting Date.</w:t>
      </w:r>
    </w:p>
    <w:p>
      <w:pPr>
        <w:spacing w:after="0" w:line="5"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60" w:hanging="549"/>
        <w:spacing w:after="0" w:line="298" w:lineRule="auto"/>
        <w:tabs>
          <w:tab w:leader="none" w:pos="1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a Schedule 13G/A, as filed with the SEC on February 4, 2020. BlackRock, Inc., 55 East 52nd Street, New York, NY 10055, a parent holding company or control person in accordance with Rule 13d-1(b)(1)(ii)(G) of the Exchange Act, is the beneficial owner of 7,740,753 shares of our outstanding common stock, of which they hold sole voting power with respect to 7,522,115 shares and sole investment power with respect to all of the beneficially owned shares.</w:t>
      </w:r>
    </w:p>
    <w:p>
      <w:pPr>
        <w:spacing w:after="0" w:line="193" w:lineRule="exact"/>
        <w:rPr>
          <w:rFonts w:ascii="Arial" w:cs="Arial" w:eastAsia="Arial" w:hAnsi="Arial"/>
          <w:sz w:val="16"/>
          <w:szCs w:val="16"/>
          <w:color w:val="auto"/>
        </w:rPr>
      </w:pPr>
    </w:p>
    <w:p>
      <w:pPr>
        <w:ind w:left="1680" w:hanging="549"/>
        <w:spacing w:after="0" w:line="291" w:lineRule="auto"/>
        <w:tabs>
          <w:tab w:leader="none" w:pos="1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a Schedule 13G/A, as filed with the SEC on February 12, 2020. The Vanguard Group, Inc., 100 Vanguard Blvd., Malvern, PA 19355, an investment adviser in accordance with Rule 13d-1(b)(1)(ii)(E) and two wholly owned subsidiaries, Vanguard Fiduciary Trust Company and Vanguard Investments Australia, Ltd., are the beneficial owners of 6,021,926 shares, 54,188 shares and 20,025 shares, respectively, of our outstanding common stock. The Vanguard Group, Inc. holds sole voting power with respect to 64,211 shares, shared voting power with respect to 10,002 shares, sole investment power with respect to 5,957,736 shares and shared investing power with respect to 64,190 shares beneficially owned.</w:t>
      </w:r>
    </w:p>
    <w:p>
      <w:pPr>
        <w:spacing w:after="0" w:line="187" w:lineRule="exact"/>
        <w:rPr>
          <w:rFonts w:ascii="Arial" w:cs="Arial" w:eastAsia="Arial" w:hAnsi="Arial"/>
          <w:sz w:val="16"/>
          <w:szCs w:val="16"/>
          <w:color w:val="auto"/>
        </w:rPr>
      </w:pPr>
    </w:p>
    <w:p>
      <w:pPr>
        <w:ind w:left="1680" w:right="220" w:hanging="549"/>
        <w:spacing w:after="0" w:line="291" w:lineRule="auto"/>
        <w:tabs>
          <w:tab w:leader="none" w:pos="1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a Schedule 13G, as filed with the SEC on February 12, 2020. The Dimensional Fund Advisors LP, Building One, 6300 Bee Cave Road, Austin, TX 78746, an investment adviser in accordance with Rule 13d 1(b)(1)(ii)(E) serves as an investment manager or sub-adviser to investment companies, trusts and accounts, collectively referred to as the "Funds". In such role, Dimensional Fund Advisors LP or its subsidiaries may be deemed to be the beneficial owner of the shares held by the Funds. Dimensional Fund Advisors LP has sole voting power with respect to 5,278,515 shares and sole investment power with respect to all of the beneficially owned shares. Dimensional Fund Advisors LP disclaims beneficial ownership of such securities.</w:t>
      </w:r>
    </w:p>
    <w:p>
      <w:pPr>
        <w:spacing w:after="0" w:line="187" w:lineRule="exact"/>
        <w:rPr>
          <w:rFonts w:ascii="Arial" w:cs="Arial" w:eastAsia="Arial" w:hAnsi="Arial"/>
          <w:sz w:val="16"/>
          <w:szCs w:val="16"/>
          <w:color w:val="auto"/>
        </w:rPr>
      </w:pPr>
    </w:p>
    <w:p>
      <w:pPr>
        <w:ind w:left="1680" w:right="180" w:hanging="549"/>
        <w:spacing w:after="0" w:line="256" w:lineRule="auto"/>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amount includes 1,340 of the reported shares of common stock are indirectly held by Mr. Kasbar's spouse. This amount excludes 122,283 RSUs that have not yet vested. Pursuant to the terms of the agreements governing these equity awards, Mr. Kasbar has contractually agreed not to exercise any voting rights with respect to the shares prior to vesting. This amount also includes 403,784 shares that were pledged as collateral for a personal loan.</w:t>
      </w:r>
    </w:p>
    <w:p>
      <w:pPr>
        <w:spacing w:after="0" w:line="223" w:lineRule="exact"/>
        <w:rPr>
          <w:rFonts w:ascii="Arial" w:cs="Arial" w:eastAsia="Arial" w:hAnsi="Arial"/>
          <w:sz w:val="18"/>
          <w:szCs w:val="18"/>
          <w:color w:val="auto"/>
        </w:rPr>
      </w:pPr>
    </w:p>
    <w:p>
      <w:pPr>
        <w:ind w:left="1680" w:right="260" w:hanging="549"/>
        <w:spacing w:after="0" w:line="331" w:lineRule="auto"/>
        <w:tabs>
          <w:tab w:leader="none" w:pos="1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This amount excludes 48,222 RSUs that have not yet vested. Pursuant to the terms of the agreements governing these equity awards, Mr. Birns has contractually agreed not to exercise any voting rights with respect to the shares prior to vesting.</w:t>
      </w:r>
    </w:p>
    <w:p>
      <w:pPr>
        <w:spacing w:after="0" w:line="154" w:lineRule="exact"/>
        <w:rPr>
          <w:rFonts w:ascii="Arial" w:cs="Arial" w:eastAsia="Arial" w:hAnsi="Arial"/>
          <w:sz w:val="16"/>
          <w:szCs w:val="16"/>
          <w:color w:val="auto"/>
        </w:rPr>
      </w:pPr>
    </w:p>
    <w:p>
      <w:pPr>
        <w:ind w:left="1680" w:right="160" w:hanging="549"/>
        <w:spacing w:after="0" w:line="331" w:lineRule="auto"/>
        <w:tabs>
          <w:tab w:leader="none" w:pos="1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This amount excludes 103,329 RSUs that have not yet vested. Pursuant to the terms of the agreements governing these equity awards, Mr. Smith has contractually agreed not to exercise any voting rights with respect to the shares prior to vesting.</w:t>
      </w:r>
    </w:p>
    <w:p>
      <w:pPr>
        <w:spacing w:after="0" w:line="154" w:lineRule="exact"/>
        <w:rPr>
          <w:rFonts w:ascii="Arial" w:cs="Arial" w:eastAsia="Arial" w:hAnsi="Arial"/>
          <w:sz w:val="16"/>
          <w:szCs w:val="16"/>
          <w:color w:val="auto"/>
        </w:rPr>
      </w:pPr>
    </w:p>
    <w:p>
      <w:pPr>
        <w:jc w:val="both"/>
        <w:ind w:left="1680" w:right="160" w:hanging="549"/>
        <w:spacing w:after="0" w:line="335" w:lineRule="auto"/>
        <w:tabs>
          <w:tab w:leader="none" w:pos="16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This amount includes 12,432 shares of common stock issuable pursuant to the settlement of RSUs that will vest within 60 days of the Reporting Date. This amount excludes 51,185 RSUs that have not yet vested. Pursuant to the terms of the agreements governing these equity awards, Mr. Crosby has contractually agreed not to exercise any voting rights with respect to the shares prior to vesting.</w:t>
      </w:r>
    </w:p>
    <w:p>
      <w:pPr>
        <w:spacing w:after="0" w:line="168" w:lineRule="exact"/>
        <w:rPr>
          <w:rFonts w:ascii="Arial" w:cs="Arial" w:eastAsia="Arial" w:hAnsi="Arial"/>
          <w:sz w:val="15"/>
          <w:szCs w:val="15"/>
          <w:color w:val="auto"/>
        </w:rPr>
      </w:pPr>
    </w:p>
    <w:p>
      <w:pPr>
        <w:jc w:val="both"/>
        <w:ind w:left="1680" w:right="160" w:hanging="549"/>
        <w:spacing w:after="0" w:line="335" w:lineRule="auto"/>
        <w:tabs>
          <w:tab w:leader="none" w:pos="16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This amount includes 14,699 shares of common stock issuable pursuant to the settlement of RSUs that will vest within 60 days of the Reporting Date. This amount excludes 51,185 RSUs that have not yet vested. Pursuant to the terms of the agreements governing these equity awards, Mr. Rau has contractually agreed not to exercise any voting rights with respect to the shares prior to vesting.</w:t>
      </w:r>
    </w:p>
    <w:p>
      <w:pPr>
        <w:spacing w:after="0" w:line="155" w:lineRule="exact"/>
        <w:rPr>
          <w:rFonts w:ascii="Arial" w:cs="Arial" w:eastAsia="Arial" w:hAnsi="Arial"/>
          <w:sz w:val="15"/>
          <w:szCs w:val="15"/>
          <w:color w:val="auto"/>
        </w:rPr>
      </w:pPr>
    </w:p>
    <w:p>
      <w:pPr>
        <w:ind w:left="1680" w:right="20" w:hanging="549"/>
        <w:spacing w:after="0" w:line="254" w:lineRule="auto"/>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amount includes 37,405 shares of common stock issuable pursuant to the settlement of stock units and RSUs that are vested or will vest within 60 days of the Reporting Date. Upon</w:t>
      </w: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200"/>
        <w:spacing w:after="0" w:line="268" w:lineRule="auto"/>
        <w:rPr>
          <w:sz w:val="20"/>
          <w:szCs w:val="20"/>
          <w:color w:val="auto"/>
        </w:rPr>
      </w:pPr>
      <w:r>
        <w:rPr>
          <w:rFonts w:ascii="Arial" w:cs="Arial" w:eastAsia="Arial" w:hAnsi="Arial"/>
          <w:sz w:val="18"/>
          <w:szCs w:val="18"/>
          <w:color w:val="auto"/>
        </w:rPr>
        <w:t>settlement, 7,628 shares will be delivered to Mr. Bakshi in May 2020 and 29,777 shares will be delivered upon his departure from the Board.</w:t>
      </w:r>
    </w:p>
    <w:p>
      <w:pPr>
        <w:spacing w:after="0" w:line="199" w:lineRule="exact"/>
        <w:rPr>
          <w:sz w:val="20"/>
          <w:szCs w:val="20"/>
          <w:color w:val="auto"/>
        </w:rPr>
      </w:pPr>
    </w:p>
    <w:p>
      <w:pPr>
        <w:ind w:left="1680" w:right="380" w:hanging="549"/>
        <w:spacing w:after="0" w:line="331" w:lineRule="auto"/>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amount includes 7,628 shares of common stock issuable pursuant to the settlement of RSUs that are vested or will vest within 60 days of the Reporting Date. Upon settlement of the RSUs, the shares will be delivered to Mr. Benitez in May 2020.</w:t>
      </w:r>
    </w:p>
    <w:p>
      <w:pPr>
        <w:spacing w:after="0" w:line="167" w:lineRule="exact"/>
        <w:rPr>
          <w:rFonts w:ascii="Arial" w:cs="Arial" w:eastAsia="Arial" w:hAnsi="Arial"/>
          <w:sz w:val="16"/>
          <w:szCs w:val="16"/>
          <w:color w:val="auto"/>
        </w:rPr>
      </w:pPr>
    </w:p>
    <w:p>
      <w:pPr>
        <w:ind w:left="1680" w:right="380" w:hanging="549"/>
        <w:spacing w:after="0" w:line="331" w:lineRule="auto"/>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amount includes 1,590 shares of common stock issuable pursuant to the settlement of RSUs that are vested or will vest within 60 days of the Reporting Date. Upon settlement of the RSUs, the shares will be delivered to Ms. Cherwoo in May 2020.</w:t>
      </w:r>
    </w:p>
    <w:p>
      <w:pPr>
        <w:spacing w:after="0" w:line="154" w:lineRule="exact"/>
        <w:rPr>
          <w:rFonts w:ascii="Arial" w:cs="Arial" w:eastAsia="Arial" w:hAnsi="Arial"/>
          <w:sz w:val="16"/>
          <w:szCs w:val="16"/>
          <w:color w:val="auto"/>
        </w:rPr>
      </w:pPr>
    </w:p>
    <w:p>
      <w:pPr>
        <w:ind w:left="1680" w:right="380" w:hanging="549"/>
        <w:spacing w:after="0" w:line="331" w:lineRule="auto"/>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amount includes 6,687 shares of common stock issuable pursuant to the settlement of RSUs that are vested or will vest within 60 days of the Reporting Date. Upon settlement of the RSUs, the shares will be delivered to Mr. Gold in May 2020.</w:t>
      </w:r>
    </w:p>
    <w:p>
      <w:pPr>
        <w:spacing w:after="0" w:line="154" w:lineRule="exact"/>
        <w:rPr>
          <w:rFonts w:ascii="Arial" w:cs="Arial" w:eastAsia="Arial" w:hAnsi="Arial"/>
          <w:sz w:val="16"/>
          <w:szCs w:val="16"/>
          <w:color w:val="auto"/>
        </w:rPr>
      </w:pPr>
    </w:p>
    <w:p>
      <w:pPr>
        <w:ind w:left="1680" w:right="300" w:hanging="549"/>
        <w:spacing w:after="0" w:line="259"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includes 24,140 shares of common stock issuable pursuant to the settlement of RSUs that are vested or will vest within 60 days of the Reporting Date. Upon settlement of the RSUs, 7,461 shares will be delivered to Mr. Kassar in May 2020 and 16,679 shares will be delivered upon his departure from the Board.</w:t>
      </w:r>
    </w:p>
    <w:p>
      <w:pPr>
        <w:spacing w:after="0" w:line="220" w:lineRule="exact"/>
        <w:rPr>
          <w:rFonts w:ascii="Arial" w:cs="Arial" w:eastAsia="Arial" w:hAnsi="Arial"/>
          <w:sz w:val="18"/>
          <w:szCs w:val="18"/>
          <w:color w:val="auto"/>
        </w:rPr>
      </w:pPr>
    </w:p>
    <w:p>
      <w:pPr>
        <w:jc w:val="both"/>
        <w:ind w:left="1680" w:right="380" w:hanging="549"/>
        <w:spacing w:after="0" w:line="259"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includes 9,377 shares of common stock issuable pursuant to the settlement of RSUs that are vested or will vest within 60 days of the Reporting Date. Upon settlement of the RSUs, 7,628 shares will be delivered to Mr. Manley in May 2020 and 1,749 shares will be delivered upon his departure from the Board.</w:t>
      </w:r>
    </w:p>
    <w:p>
      <w:pPr>
        <w:spacing w:after="0" w:line="207" w:lineRule="exact"/>
        <w:rPr>
          <w:rFonts w:ascii="Arial" w:cs="Arial" w:eastAsia="Arial" w:hAnsi="Arial"/>
          <w:sz w:val="18"/>
          <w:szCs w:val="18"/>
          <w:color w:val="auto"/>
        </w:rPr>
      </w:pPr>
    </w:p>
    <w:p>
      <w:pPr>
        <w:ind w:left="1680" w:right="300" w:hanging="549"/>
        <w:spacing w:after="0" w:line="259"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includes 24,307 shares of common stock issuable pursuant to the settlement of RSUs that are vested or will vest within 60 days of the Reporting Date. Upon settlement of the RSUs, 7,628 shares will be delivered to Mr. Roddenberry in May 2020 and 16,679 shares will be delivered upon his departure from the Board.</w:t>
      </w:r>
    </w:p>
    <w:p>
      <w:pPr>
        <w:spacing w:after="0" w:line="207" w:lineRule="exact"/>
        <w:rPr>
          <w:rFonts w:ascii="Arial" w:cs="Arial" w:eastAsia="Arial" w:hAnsi="Arial"/>
          <w:sz w:val="18"/>
          <w:szCs w:val="18"/>
          <w:color w:val="auto"/>
        </w:rPr>
      </w:pPr>
    </w:p>
    <w:p>
      <w:pPr>
        <w:ind w:left="1680" w:hanging="549"/>
        <w:spacing w:after="0"/>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amount includes 6,991 shares of common stock issuable pursuant to the settlement of RSUs that are vested or will vest within</w:t>
      </w:r>
    </w:p>
    <w:p>
      <w:pPr>
        <w:spacing w:after="0" w:line="38" w:lineRule="exact"/>
        <w:rPr>
          <w:rFonts w:ascii="Arial" w:cs="Arial" w:eastAsia="Arial" w:hAnsi="Arial"/>
          <w:sz w:val="16"/>
          <w:szCs w:val="16"/>
          <w:color w:val="auto"/>
        </w:rPr>
      </w:pPr>
    </w:p>
    <w:p>
      <w:pPr>
        <w:ind w:left="1680" w:right="140"/>
        <w:spacing w:after="0" w:line="281" w:lineRule="auto"/>
        <w:rPr>
          <w:rFonts w:ascii="Arial" w:cs="Arial" w:eastAsia="Arial" w:hAnsi="Arial"/>
          <w:sz w:val="16"/>
          <w:szCs w:val="16"/>
          <w:color w:val="auto"/>
        </w:rPr>
      </w:pPr>
      <w:r>
        <w:rPr>
          <w:rFonts w:ascii="Arial" w:cs="Arial" w:eastAsia="Arial" w:hAnsi="Arial"/>
          <w:sz w:val="16"/>
          <w:szCs w:val="16"/>
          <w:color w:val="auto"/>
        </w:rPr>
        <w:t>60 days of the Reporting Date. Upon settlement of the RSUs, the shares will be delivered to Mr. Stebbins in May 2020. 233,664 of the shares of common stock beneficially owned by Mr. Stebbins are held by a revocable trust, for which Mr. Stebbins' spouse serves as trustee and 129,037 of the shares of common stock beneficially owned by Mr. Stebbins are held by a revocable trust, for which</w:t>
      </w:r>
    </w:p>
    <w:p>
      <w:pPr>
        <w:spacing w:after="0" w:line="1" w:lineRule="exact"/>
        <w:rPr>
          <w:rFonts w:ascii="Arial" w:cs="Arial" w:eastAsia="Arial" w:hAnsi="Arial"/>
          <w:sz w:val="16"/>
          <w:szCs w:val="16"/>
          <w:color w:val="auto"/>
        </w:rPr>
      </w:pPr>
    </w:p>
    <w:p>
      <w:pPr>
        <w:ind w:left="1680"/>
        <w:spacing w:after="0"/>
        <w:rPr>
          <w:rFonts w:ascii="Arial" w:cs="Arial" w:eastAsia="Arial" w:hAnsi="Arial"/>
          <w:sz w:val="16"/>
          <w:szCs w:val="16"/>
          <w:color w:val="auto"/>
        </w:rPr>
      </w:pPr>
      <w:r>
        <w:rPr>
          <w:rFonts w:ascii="Arial" w:cs="Arial" w:eastAsia="Arial" w:hAnsi="Arial"/>
          <w:sz w:val="18"/>
          <w:szCs w:val="18"/>
          <w:color w:val="auto"/>
        </w:rPr>
        <w:t>Mr. Stebbins serves as trustee.</w:t>
      </w:r>
    </w:p>
    <w:p>
      <w:pPr>
        <w:spacing w:after="0" w:line="245" w:lineRule="exact"/>
        <w:rPr>
          <w:rFonts w:ascii="Arial" w:cs="Arial" w:eastAsia="Arial" w:hAnsi="Arial"/>
          <w:sz w:val="16"/>
          <w:szCs w:val="16"/>
          <w:color w:val="auto"/>
        </w:rPr>
      </w:pPr>
    </w:p>
    <w:p>
      <w:pPr>
        <w:ind w:left="1680" w:right="600" w:hanging="549"/>
        <w:spacing w:after="0" w:line="268"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includes an aggregate of 146,189 shares issuable pursuant to RSUs that vested or will vest within 60 days after the Reporting Date.</w:t>
      </w:r>
    </w:p>
    <w:p>
      <w:pPr>
        <w:spacing w:after="0" w:line="180"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0048E0"/>
        </w:rPr>
      </w:pPr>
      <w:r>
        <w:rPr>
          <w:rFonts w:ascii="Arial" w:cs="Arial" w:eastAsia="Arial" w:hAnsi="Arial"/>
          <w:sz w:val="18"/>
          <w:szCs w:val="18"/>
          <w:b w:val="1"/>
          <w:bCs w:val="1"/>
          <w:color w:val="0048E0"/>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Section 16(a) Beneficial Ownership Reporting Compliance</w:t>
      </w:r>
    </w:p>
    <w:p>
      <w:pPr>
        <w:spacing w:after="0" w:line="231" w:lineRule="exact"/>
        <w:rPr>
          <w:sz w:val="20"/>
          <w:szCs w:val="20"/>
          <w:color w:val="auto"/>
        </w:rPr>
      </w:pPr>
    </w:p>
    <w:p>
      <w:pPr>
        <w:jc w:val="both"/>
        <w:ind w:right="100" w:firstLine="614"/>
        <w:spacing w:after="0" w:line="298" w:lineRule="auto"/>
        <w:rPr>
          <w:sz w:val="20"/>
          <w:szCs w:val="20"/>
          <w:color w:val="auto"/>
        </w:rPr>
      </w:pPr>
      <w:r>
        <w:rPr>
          <w:rFonts w:ascii="Arial" w:cs="Arial" w:eastAsia="Arial" w:hAnsi="Arial"/>
          <w:sz w:val="16"/>
          <w:szCs w:val="16"/>
          <w:color w:val="auto"/>
        </w:rPr>
        <w:t>Section 16(a) of the Exchange Act requires our directors and certain officers, and persons who own more than 10% of our common stock, to file with the SEC reports of ownership and changes in ownership of our common stock and other equity securities. Based on a review of our records and certain written representations received from our executive officers and directors, we believe that all required filings during the year ended December 31, 2019 were made on a timely basis, with the exception of a late Form 4 filing disclosing one transaction for each of Messrs. Lake and Stebbins.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Shareholder Proposals for the 2021 Annual Meeting</w:t>
      </w:r>
    </w:p>
    <w:p>
      <w:pPr>
        <w:spacing w:after="0" w:line="231" w:lineRule="exact"/>
        <w:rPr>
          <w:sz w:val="20"/>
          <w:szCs w:val="20"/>
          <w:color w:val="auto"/>
        </w:rPr>
      </w:pPr>
    </w:p>
    <w:p>
      <w:pPr>
        <w:ind w:right="320" w:firstLine="614"/>
        <w:spacing w:after="0" w:line="306" w:lineRule="auto"/>
        <w:rPr>
          <w:sz w:val="20"/>
          <w:szCs w:val="20"/>
          <w:color w:val="auto"/>
        </w:rPr>
      </w:pPr>
      <w:r>
        <w:rPr>
          <w:rFonts w:ascii="Arial" w:cs="Arial" w:eastAsia="Arial" w:hAnsi="Arial"/>
          <w:sz w:val="16"/>
          <w:szCs w:val="16"/>
          <w:i w:val="1"/>
          <w:iCs w:val="1"/>
          <w:color w:val="auto"/>
        </w:rPr>
        <w:t xml:space="preserve">Proposals for Inclusion in the Proxy Statement. </w:t>
      </w:r>
      <w:r>
        <w:rPr>
          <w:rFonts w:ascii="Arial" w:cs="Arial" w:eastAsia="Arial" w:hAnsi="Arial"/>
          <w:sz w:val="16"/>
          <w:szCs w:val="16"/>
          <w:color w:val="auto"/>
        </w:rPr>
        <w:t>The date by which shareholder proposals must be received by us for inclusion in proxy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2021 annual meeting of shareholders, or the "2021 Annual Meeting," is December 10, 2020. Upon receipt of any such proposal, we will determine whether or not to include such proposal in the proxy materials in accordance with SEC regulations governing the solicitation of proxies.</w:t>
      </w:r>
    </w:p>
    <w:p>
      <w:pPr>
        <w:spacing w:after="0" w:line="160" w:lineRule="exact"/>
        <w:rPr>
          <w:sz w:val="20"/>
          <w:szCs w:val="20"/>
          <w:color w:val="auto"/>
        </w:rPr>
      </w:pPr>
    </w:p>
    <w:p>
      <w:pPr>
        <w:ind w:right="140" w:firstLine="614"/>
        <w:spacing w:after="0" w:line="286" w:lineRule="auto"/>
        <w:rPr>
          <w:sz w:val="20"/>
          <w:szCs w:val="20"/>
          <w:color w:val="auto"/>
        </w:rPr>
      </w:pPr>
      <w:r>
        <w:rPr>
          <w:rFonts w:ascii="Arial" w:cs="Arial" w:eastAsia="Arial" w:hAnsi="Arial"/>
          <w:sz w:val="16"/>
          <w:szCs w:val="16"/>
          <w:i w:val="1"/>
          <w:iCs w:val="1"/>
          <w:color w:val="auto"/>
        </w:rPr>
        <w:t xml:space="preserve">Proposals not Included in the Proxy Statement and Nominations for Director. </w:t>
      </w:r>
      <w:r>
        <w:rPr>
          <w:rFonts w:ascii="Arial" w:cs="Arial" w:eastAsia="Arial" w:hAnsi="Arial"/>
          <w:sz w:val="16"/>
          <w:szCs w:val="16"/>
          <w:color w:val="auto"/>
        </w:rPr>
        <w:t>Shareholder proposals not included in our proxy statement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nominations for director may be brought before an annual meeting of shareholders in accordance with the advance notice procedures described in our By-Laws. In general, notice must be received by the Corporate Secretary not less than 90 days nor more than 120 days prior to the anniversary date of the immediately preceding annual meeting (i.e., May 22, 2021) and must contain specified information concerning the matters to be brought before such meeting and concerning the shareholder proposing such matters. For the 2021 Annual Meeting, the Corporate Secretary must receive notice of the proposal on or after the close of business on January 23, 2021 and no later than the close of business on February 24, 2021. Shareholder proposals must be in proper written form and must meet the detailed disclosure requirements set forth in our By-Laws, including a description of the proposal, the relationship between the proposing shareholder and the underlying beneficial owner, if any, and such parties' stock holdings and derivative positions in our securities. If we hold the 2021 Annual Meeting more than 30 days earlier or more than 60 days later than such anniversary date, we must receive your notice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80" w:lineRule="exact"/>
        <w:rPr>
          <w:sz w:val="20"/>
          <w:szCs w:val="20"/>
          <w:color w:val="auto"/>
        </w:rPr>
      </w:pPr>
    </w:p>
    <w:p>
      <w:pPr>
        <w:ind w:right="20" w:firstLine="614"/>
        <w:spacing w:after="0" w:line="306" w:lineRule="auto"/>
        <w:rPr>
          <w:sz w:val="20"/>
          <w:szCs w:val="20"/>
          <w:color w:val="auto"/>
        </w:rPr>
      </w:pPr>
      <w:r>
        <w:rPr>
          <w:rFonts w:ascii="Arial" w:cs="Arial" w:eastAsia="Arial" w:hAnsi="Arial"/>
          <w:sz w:val="16"/>
          <w:szCs w:val="16"/>
          <w:color w:val="auto"/>
        </w:rPr>
        <w:t>Our By-Laws also require that shareholder proposals concerning nomination of directors provide additional disclosure, including information we deem appropriate to ascertain the nominee's qualifications to serve on the Board, disclosure of compensation arrangements between the nominee, the nominating shareholder and the underlying beneficial owner, if any, and other information required to comply with the proxy rules and applicable law.</w:t>
      </w:r>
    </w:p>
    <w:p>
      <w:pPr>
        <w:spacing w:after="0" w:line="160" w:lineRule="exact"/>
        <w:rPr>
          <w:sz w:val="20"/>
          <w:szCs w:val="20"/>
          <w:color w:val="auto"/>
        </w:rPr>
      </w:pPr>
    </w:p>
    <w:p>
      <w:pPr>
        <w:ind w:right="120" w:firstLine="611"/>
        <w:spacing w:after="0" w:line="304" w:lineRule="auto"/>
        <w:rPr>
          <w:sz w:val="20"/>
          <w:szCs w:val="20"/>
          <w:color w:val="auto"/>
        </w:rPr>
      </w:pPr>
      <w:r>
        <w:rPr>
          <w:rFonts w:ascii="Arial" w:cs="Arial" w:eastAsia="Arial" w:hAnsi="Arial"/>
          <w:sz w:val="15"/>
          <w:szCs w:val="15"/>
          <w:color w:val="auto"/>
        </w:rPr>
        <w:t>The specific requirements of these advance notice provisions are set forth in Article I, Sections 6 and 7 of our By-Laws, a copy of which is available upon request. Such request and any shareholder proposals or director nominations should be sent to our Corporate Secretary at our principal executive offices.</w:t>
      </w:r>
    </w:p>
    <w:p>
      <w:pPr>
        <w:spacing w:after="0" w:line="1"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List of Shareholders Entitled to Vote at the Annual Meeting</w:t>
      </w:r>
    </w:p>
    <w:p>
      <w:pPr>
        <w:spacing w:after="0" w:line="231" w:lineRule="exact"/>
        <w:rPr>
          <w:sz w:val="20"/>
          <w:szCs w:val="20"/>
          <w:color w:val="auto"/>
        </w:rPr>
      </w:pPr>
    </w:p>
    <w:p>
      <w:pPr>
        <w:ind w:right="60" w:firstLine="611"/>
        <w:spacing w:after="0" w:line="268" w:lineRule="auto"/>
        <w:rPr>
          <w:sz w:val="20"/>
          <w:szCs w:val="20"/>
          <w:color w:val="auto"/>
        </w:rPr>
      </w:pPr>
      <w:r>
        <w:rPr>
          <w:rFonts w:ascii="Arial" w:cs="Arial" w:eastAsia="Arial" w:hAnsi="Arial"/>
          <w:sz w:val="18"/>
          <w:szCs w:val="18"/>
          <w:color w:val="auto"/>
        </w:rPr>
        <w:t>The names of shareholders of record entitled to vote at the Annual Meeting will be available at our corporate office for a period of 10 days prior to the Annual Meeting and continuing through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Expenses Relating to this Proxy Solicitation</w:t>
      </w:r>
    </w:p>
    <w:p>
      <w:pPr>
        <w:spacing w:after="0" w:line="231" w:lineRule="exact"/>
        <w:rPr>
          <w:sz w:val="20"/>
          <w:szCs w:val="20"/>
          <w:color w:val="auto"/>
        </w:rPr>
      </w:pPr>
    </w:p>
    <w:p>
      <w:pPr>
        <w:ind w:right="180" w:firstLine="611"/>
        <w:spacing w:after="0" w:line="290" w:lineRule="auto"/>
        <w:rPr>
          <w:sz w:val="20"/>
          <w:szCs w:val="20"/>
          <w:color w:val="auto"/>
        </w:rPr>
      </w:pPr>
      <w:r>
        <w:rPr>
          <w:rFonts w:ascii="Arial" w:cs="Arial" w:eastAsia="Arial" w:hAnsi="Arial"/>
          <w:sz w:val="16"/>
          <w:szCs w:val="16"/>
          <w:color w:val="auto"/>
        </w:rPr>
        <w:t>We will bear the cost of the solicitation of proxies from our shareholders, including preparing, printing and mailing the Notice and this proxy statement. In addition to solicitations by mail, our directors, officers and employees, and those of our subsidiaries and affiliates, may solicit proxies from shareholders by telephone or other electronic means or in person but will receive no additional compensation for soliciting such proxies. We will cause banks and brokerage firms and other custodians, nominees and fiduciaries to forward solicitation materials to the beneficial owners of our common stock held of record by such banks, brokerage firms, custodians, nominees and fiduciaries. We may reimburse such banks, brokerage firms, custodians, nominees and fiduciaries for their reasonable out-of-pocket expenses in doing so. We may also retain the services of a solicitor to assist in soliciting proxies and pay them a fee as well as other costs and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Communication with our Board</w:t>
      </w:r>
    </w:p>
    <w:p>
      <w:pPr>
        <w:spacing w:after="0" w:line="231"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Any interested party can contact our Board, any Board committee, our presiding director, our lead independent director, the non-management directors as a group or any individual director by (i) writing to any of them, c/o Corporate Secretary, at our principal office at 9800 Northwest 41st Street, Miami, Florida 33178, (ii) calling the WFS Anonymous Compliance Hotline at 1-888-549-0965 (US toll-free) or at any of the other country-specific toll-free numbers found at www.wfscompliance.com; or (iii) submitting a report or request online using the intake portal found at www.wfscompliance.com. Such communications may be submitted on an anonymous or confidential basis. Any communications received from interested parties in the manner described above will be collected and organized by our Corporate Secretary and will be periodically, but in any event prior to each regularly-scheduled Board meeting, reported and/or delivered to the appropriate director or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Available Information</w:t>
      </w:r>
    </w:p>
    <w:p>
      <w:pPr>
        <w:spacing w:after="0" w:line="231" w:lineRule="exact"/>
        <w:rPr>
          <w:sz w:val="20"/>
          <w:szCs w:val="20"/>
          <w:color w:val="auto"/>
        </w:rPr>
      </w:pPr>
    </w:p>
    <w:p>
      <w:pPr>
        <w:ind w:right="120" w:firstLine="611"/>
        <w:spacing w:after="0" w:line="254" w:lineRule="auto"/>
        <w:rPr>
          <w:sz w:val="20"/>
          <w:szCs w:val="20"/>
          <w:color w:val="auto"/>
        </w:rPr>
      </w:pPr>
      <w:r>
        <w:rPr>
          <w:rFonts w:ascii="Arial" w:cs="Arial" w:eastAsia="Arial" w:hAnsi="Arial"/>
          <w:sz w:val="18"/>
          <w:szCs w:val="18"/>
          <w:color w:val="auto"/>
        </w:rPr>
        <w:t>We maintain an Internet website at www.wfscorp.com. Copies of the Committee charters of each of the Audit Committee, Compensation Committee, Governance Committee, Sustainability &amp; Corporate Responsibility Committee and Technology &amp; Operations Committee, together with other corporate governance materials, such as our Corporate Governance Principles and Code of Conduct, can be found under the Investor Relations—Corporate Governance section of our website located at www.wfscorp.com, and such information is also available in print to any shareholder who requests it by writing to our Corporate Secretary at the address below.</w:t>
      </w:r>
    </w:p>
    <w:p>
      <w:pPr>
        <w:spacing w:after="0" w:line="201" w:lineRule="exact"/>
        <w:rPr>
          <w:sz w:val="20"/>
          <w:szCs w:val="20"/>
          <w:color w:val="auto"/>
        </w:rPr>
      </w:pPr>
    </w:p>
    <w:p>
      <w:pPr>
        <w:ind w:right="160" w:firstLine="611"/>
        <w:spacing w:after="0" w:line="283" w:lineRule="auto"/>
        <w:rPr>
          <w:sz w:val="20"/>
          <w:szCs w:val="20"/>
          <w:color w:val="auto"/>
        </w:rPr>
      </w:pPr>
      <w:r>
        <w:rPr>
          <w:rFonts w:ascii="Arial" w:cs="Arial" w:eastAsia="Arial" w:hAnsi="Arial"/>
          <w:sz w:val="16"/>
          <w:szCs w:val="16"/>
          <w:color w:val="auto"/>
        </w:rPr>
        <w:t>We will furnish without charge to each person whose proxy is being solicited, upon request of any such person, a copy of our 2019 annual report on Form 10-K as filed with the SEC, including the financial statements and schedules thereto. In addition, such report is available, free of charge, through the Investor Relations—Corporate Governance section of our Internet website, located at www.wfscorp.com. You should direct a request for a copy of this report to World Fuel Services Corporation, 9800 Northwest 41st Street, Miami, Florida 33178, Attention: Corporate Secretary. We will forward you a copy of any exhibit to the 2019 annual report on Form 10-K when you send a written request to Investor Relations.</w:t>
      </w:r>
    </w:p>
    <w:p>
      <w:pPr>
        <w:spacing w:after="0" w:line="2"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Electronic Delivery</w:t>
      </w:r>
    </w:p>
    <w:p>
      <w:pPr>
        <w:spacing w:after="0" w:line="231" w:lineRule="exact"/>
        <w:rPr>
          <w:sz w:val="20"/>
          <w:szCs w:val="20"/>
          <w:color w:val="auto"/>
        </w:rPr>
      </w:pPr>
    </w:p>
    <w:p>
      <w:pPr>
        <w:ind w:right="240" w:firstLine="614"/>
        <w:spacing w:after="0" w:line="254" w:lineRule="auto"/>
        <w:rPr>
          <w:sz w:val="20"/>
          <w:szCs w:val="20"/>
          <w:color w:val="auto"/>
        </w:rPr>
      </w:pPr>
      <w:r>
        <w:rPr>
          <w:rFonts w:ascii="Arial" w:cs="Arial" w:eastAsia="Arial" w:hAnsi="Arial"/>
          <w:sz w:val="18"/>
          <w:szCs w:val="18"/>
          <w:color w:val="auto"/>
        </w:rPr>
        <w:t>Pursuant to rules adopted by the SEC, we are furnishing our proxy materials to our shareholders over the Internet and providing a Notice of Internet Availability of Proxy Materials by mail instead of mailing a printed copy of our proxy materials, which include our proxy statement and annual report. This process has allowed us to expedite our shareholders' receipt of proxy materials, lower the costs of distribution and reduce the environmental impact of our Annual Meeting. All shareholders receiving the Notice will have the ability to access the proxy materials over the Internet and receive a paper copy of the proxy materials by mail at no charge upon request.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48E0"/>
        </w:rPr>
        <w:t>Householding</w:t>
      </w:r>
    </w:p>
    <w:p>
      <w:pPr>
        <w:spacing w:after="0" w:line="231" w:lineRule="exact"/>
        <w:rPr>
          <w:sz w:val="20"/>
          <w:szCs w:val="20"/>
          <w:color w:val="auto"/>
        </w:rPr>
      </w:pPr>
    </w:p>
    <w:p>
      <w:pPr>
        <w:ind w:right="240" w:firstLine="611"/>
        <w:spacing w:after="0" w:line="259" w:lineRule="auto"/>
        <w:rPr>
          <w:sz w:val="20"/>
          <w:szCs w:val="20"/>
          <w:color w:val="auto"/>
        </w:rPr>
      </w:pPr>
      <w:r>
        <w:rPr>
          <w:rFonts w:ascii="Arial" w:cs="Arial" w:eastAsia="Arial" w:hAnsi="Arial"/>
          <w:sz w:val="18"/>
          <w:szCs w:val="18"/>
          <w:color w:val="auto"/>
        </w:rPr>
        <w:t>We have adopted a procedure approved by the SEC called "householding." Under this procedure, shareholders of record who have the same address and last name will receive only one copy of our Notice, unless one or more of these shareholders notifies us that they wish to continue receiving individual copies. This procedure will reduce our printing costs and postage fees.</w:t>
      </w:r>
    </w:p>
    <w:p>
      <w:pPr>
        <w:spacing w:after="0" w:line="194" w:lineRule="exact"/>
        <w:rPr>
          <w:sz w:val="20"/>
          <w:szCs w:val="20"/>
          <w:color w:val="auto"/>
        </w:rPr>
      </w:pPr>
    </w:p>
    <w:p>
      <w:pPr>
        <w:jc w:val="both"/>
        <w:ind w:right="20" w:firstLine="614"/>
        <w:spacing w:after="0" w:line="335" w:lineRule="auto"/>
        <w:rPr>
          <w:sz w:val="20"/>
          <w:szCs w:val="20"/>
          <w:color w:val="auto"/>
        </w:rPr>
      </w:pPr>
      <w:r>
        <w:rPr>
          <w:rFonts w:ascii="Arial" w:cs="Arial" w:eastAsia="Arial" w:hAnsi="Arial"/>
          <w:sz w:val="15"/>
          <w:szCs w:val="15"/>
          <w:color w:val="auto"/>
        </w:rPr>
        <w:t>If you are eligible for householding, but you and other shareholders of record with whom you share an address currently receive multiple copies of the Notice, or if you hold stock in more than one account, and in either case you wish to receive only a single copy of the Notice for your household, please contact our transfer agent, EQ Shareowner Services (in writing: P.O. Box 64854, St. Paul, MN 55164-0854, or by telephone: (800) 468-9716 or (651) 450-4064).</w:t>
      </w:r>
    </w:p>
    <w:p>
      <w:pPr>
        <w:spacing w:after="0" w:line="142" w:lineRule="exact"/>
        <w:rPr>
          <w:sz w:val="20"/>
          <w:szCs w:val="20"/>
          <w:color w:val="auto"/>
        </w:rPr>
      </w:pPr>
    </w:p>
    <w:p>
      <w:pPr>
        <w:jc w:val="both"/>
        <w:ind w:right="80" w:firstLine="614"/>
        <w:spacing w:after="0" w:line="252" w:lineRule="auto"/>
        <w:rPr>
          <w:sz w:val="20"/>
          <w:szCs w:val="20"/>
          <w:color w:val="auto"/>
        </w:rPr>
      </w:pPr>
      <w:r>
        <w:rPr>
          <w:rFonts w:ascii="Arial" w:cs="Arial" w:eastAsia="Arial" w:hAnsi="Arial"/>
          <w:sz w:val="18"/>
          <w:szCs w:val="18"/>
          <w:color w:val="auto"/>
        </w:rPr>
        <w:t>If you participate in householding and wish to receive a separate copy of the Notice, or if you do not wish to participate in householding and prefer to receive separate copies of the Notice in the future, please contact EQ Shareowner Services as indicated above. Beneficial shareholders can request information about householding from their broker, bank, trustee, agent or other record holder.</w:t>
      </w:r>
    </w:p>
    <w:p>
      <w:pPr>
        <w:spacing w:after="0" w:line="2" w:lineRule="exact"/>
        <w:rPr>
          <w:sz w:val="20"/>
          <w:szCs w:val="20"/>
          <w:color w:val="auto"/>
        </w:rPr>
      </w:pPr>
    </w:p>
    <w:p>
      <w:pPr>
        <w:jc w:val="right"/>
        <w:spacing w:after="0"/>
        <w:tabs>
          <w:tab w:leader="none" w:pos="2140" w:val="left"/>
          <w:tab w:leader="none" w:pos="1900" w:val="left"/>
          <w:tab w:leader="none" w:pos="1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0540"/>
        <w:spacing w:after="0"/>
        <w:rPr>
          <w:sz w:val="20"/>
          <w:szCs w:val="20"/>
          <w:color w:val="auto"/>
        </w:rPr>
      </w:pPr>
      <w:r>
        <w:rPr>
          <w:rFonts w:ascii="Arial" w:cs="Arial" w:eastAsia="Arial" w:hAnsi="Arial"/>
          <w:sz w:val="16"/>
          <w:szCs w:val="16"/>
          <w:b w:val="1"/>
          <w:bCs w:val="1"/>
          <w:color w:val="auto"/>
        </w:rPr>
        <w:t>Annex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E0"/>
        </w:rPr>
        <w:t>WORLD FUEL SERVICES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E0"/>
        </w:rPr>
        <w:t>2020 OMNIBUS PLAN</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SECTION I</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GENERAL</w:t>
      </w:r>
    </w:p>
    <w:p>
      <w:pPr>
        <w:spacing w:after="0" w:line="219" w:lineRule="exact"/>
        <w:rPr>
          <w:sz w:val="20"/>
          <w:szCs w:val="20"/>
          <w:color w:val="auto"/>
        </w:rPr>
      </w:pPr>
    </w:p>
    <w:p>
      <w:pPr>
        <w:ind w:right="40" w:firstLine="614"/>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Purpose.</w:t>
      </w:r>
      <w:r>
        <w:rPr>
          <w:rFonts w:ascii="Arial" w:cs="Arial" w:eastAsia="Arial" w:hAnsi="Arial"/>
          <w:sz w:val="16"/>
          <w:szCs w:val="16"/>
          <w:color w:val="auto"/>
        </w:rPr>
        <w:t xml:space="preserve"> The World Fuel Services Corporation 2020 Omnibus Plan (as may be amended from time to time, the "Plan") has been established by World Fuel Services Corporation (the "Company"), a Florida corporation, to: (a) attract and retain persons eligible to participate in the Plan; (b) motivate Participants, by means of appropriate incentives, to achieve long-range goals; (c) provide incentive compensation opportunities that are competitive with those of other similar companies; and (d) further align Participants' interests with those of the Company's other shareholders through compensation that is based on the Company's common stock; and thereby promote the long-term financial interest of the Company and the Subsidiaries, including the growth in value of the Company's equity and enhancement of long-term shareholder return.</w:t>
      </w:r>
    </w:p>
    <w:p>
      <w:pPr>
        <w:spacing w:after="0" w:line="174" w:lineRule="exact"/>
        <w:rPr>
          <w:sz w:val="20"/>
          <w:szCs w:val="20"/>
          <w:color w:val="auto"/>
        </w:rPr>
      </w:pPr>
    </w:p>
    <w:p>
      <w:pPr>
        <w:jc w:val="both"/>
        <w:ind w:right="140" w:firstLine="614"/>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Participation.</w:t>
      </w:r>
      <w:r>
        <w:rPr>
          <w:rFonts w:ascii="Arial" w:cs="Arial" w:eastAsia="Arial" w:hAnsi="Arial"/>
          <w:sz w:val="18"/>
          <w:szCs w:val="18"/>
          <w:color w:val="auto"/>
        </w:rPr>
        <w:t xml:space="preserve"> Subject to the terms and conditions of the Plan, the Compensation Committee (the "Committee") of the Board of Directors (the "Board") of the Company shall determine and designate, from time to time, from among the Eligible Persons, those persons who will be granted one or more Awards under the Plan, and thereby become "Participants" in the Plan.</w:t>
      </w:r>
    </w:p>
    <w:p>
      <w:pPr>
        <w:spacing w:after="0" w:line="194" w:lineRule="exact"/>
        <w:rPr>
          <w:sz w:val="20"/>
          <w:szCs w:val="20"/>
          <w:color w:val="auto"/>
        </w:rPr>
      </w:pPr>
    </w:p>
    <w:p>
      <w:pPr>
        <w:ind w:right="140" w:firstLine="614"/>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Operation, Administration, and Definitions.</w:t>
      </w:r>
      <w:r>
        <w:rPr>
          <w:rFonts w:ascii="Arial" w:cs="Arial" w:eastAsia="Arial" w:hAnsi="Arial"/>
          <w:sz w:val="18"/>
          <w:szCs w:val="18"/>
          <w:color w:val="auto"/>
        </w:rPr>
        <w:t xml:space="preserve"> The operation and administration of the Plan, including the Awards made under the Plan, shall be subject to the provisions of Section IV (relating to operation and administration). Capitalized terms in the Plan shall be defined as set forth in the Plan (including the definition provisions of Section IX of the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OPTIONS AND SARS</w:t>
      </w:r>
    </w:p>
    <w:p>
      <w:pPr>
        <w:spacing w:after="0" w:line="219"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8"/>
          <w:szCs w:val="18"/>
          <w:i w:val="1"/>
          <w:iCs w:val="1"/>
          <w:color w:val="auto"/>
        </w:rPr>
        <w:t>2.1</w:t>
      </w:r>
      <w:r>
        <w:rPr>
          <w:sz w:val="20"/>
          <w:szCs w:val="20"/>
          <w:color w:val="auto"/>
        </w:rPr>
        <w:tab/>
      </w:r>
      <w:r>
        <w:rPr>
          <w:rFonts w:ascii="Arial" w:cs="Arial" w:eastAsia="Arial" w:hAnsi="Arial"/>
          <w:sz w:val="16"/>
          <w:szCs w:val="16"/>
          <w:i w:val="1"/>
          <w:iCs w:val="1"/>
          <w:color w:val="auto"/>
        </w:rPr>
        <w:t>Definitions.</w:t>
      </w:r>
    </w:p>
    <w:p>
      <w:pPr>
        <w:spacing w:after="0" w:line="225" w:lineRule="exact"/>
        <w:rPr>
          <w:sz w:val="20"/>
          <w:szCs w:val="20"/>
          <w:color w:val="auto"/>
        </w:rPr>
      </w:pPr>
    </w:p>
    <w:p>
      <w:pPr>
        <w:ind w:right="180" w:firstLine="622"/>
        <w:spacing w:after="0" w:line="294" w:lineRule="auto"/>
        <w:tabs>
          <w:tab w:leader="none" w:pos="931"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 "Option" is a right that entitles the Participant to purchase shares of Stock at an Exercise Price established by the Committee. Any Option granted under this Section II may be either an Incentive Stock Option or a Non-Qualified Stock Option, as determined in the discretion of the Committee. An "Incentive Stock Option" is an Option that is intended to satisfy the requirements applicable to an "incentive stock option" described in Section 422(b) of the Code. Only Employees of the Company or any Subsidiary shall be eligible to be awarded Incentive Stock Options under the Plan. A "Non-Qualified Stock Option" is an Option that is not intended to be an "incentive stock option" as that term is described in Section 422(b) of the Code.</w:t>
      </w:r>
    </w:p>
    <w:p>
      <w:pPr>
        <w:spacing w:after="0" w:line="169" w:lineRule="exact"/>
        <w:rPr>
          <w:rFonts w:ascii="Arial" w:cs="Arial" w:eastAsia="Arial" w:hAnsi="Arial"/>
          <w:sz w:val="16"/>
          <w:szCs w:val="16"/>
          <w:color w:val="auto"/>
        </w:rPr>
      </w:pPr>
    </w:p>
    <w:p>
      <w:pPr>
        <w:ind w:right="360" w:firstLine="622"/>
        <w:spacing w:after="0" w:line="259" w:lineRule="auto"/>
        <w:tabs>
          <w:tab w:leader="none" w:pos="94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"Stock Appreciation Right" or "SAR" is a right that entitles the Participant to receive, in cash or Stock (as determined in accordance with Section 4.7), value equal to (or otherwise based on) the excess of: (i) the Fair Market Value of a share of Stock at the time of exercise; over (ii) an Exercise Price established by the Committee.</w:t>
      </w:r>
    </w:p>
    <w:p>
      <w:pPr>
        <w:spacing w:after="0" w:line="194" w:lineRule="exact"/>
        <w:rPr>
          <w:sz w:val="20"/>
          <w:szCs w:val="20"/>
          <w:color w:val="auto"/>
        </w:rPr>
      </w:pPr>
    </w:p>
    <w:p>
      <w:pPr>
        <w:ind w:right="40" w:firstLine="614"/>
        <w:spacing w:after="0" w:line="25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Exercise Price.</w:t>
      </w:r>
      <w:r>
        <w:rPr>
          <w:rFonts w:ascii="Arial" w:cs="Arial" w:eastAsia="Arial" w:hAnsi="Arial"/>
          <w:sz w:val="18"/>
          <w:szCs w:val="18"/>
          <w:color w:val="auto"/>
        </w:rPr>
        <w:t xml:space="preserve"> The "Exercise Price" of each share of Stock purchasable under an Option and each SAR shall be determined by the Committee, provided that such Exercise Price shall not be less than 100% of the Fair Market Value of a share of Stock on the date of grant of the Option or SAR and shall not, in any event, be less than the par value of a share of Stock on the date of grant of the Option or SAR. If an Eligible Person owns or is deemed to own (by reason of the attribution rules</w:t>
      </w:r>
    </w:p>
    <w:p>
      <w:pPr>
        <w:spacing w:after="0" w:line="1"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person, the Exercise Price of such Incentive Stock Option (to the extent required by the Code at the time of grant) shall be no less than 110% of the Fair Market Value of a share of Stock on the date that the Incentive Stock Option is granted.</w:t>
      </w:r>
    </w:p>
    <w:p>
      <w:pPr>
        <w:spacing w:after="0" w:line="166" w:lineRule="exact"/>
        <w:rPr>
          <w:sz w:val="20"/>
          <w:szCs w:val="20"/>
          <w:color w:val="auto"/>
        </w:rPr>
      </w:pPr>
    </w:p>
    <w:p>
      <w:pPr>
        <w:ind w:right="340" w:firstLine="614"/>
        <w:spacing w:after="0" w:line="33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Exercise.</w:t>
      </w:r>
      <w:r>
        <w:rPr>
          <w:rFonts w:ascii="Arial" w:cs="Arial" w:eastAsia="Arial" w:hAnsi="Arial"/>
          <w:sz w:val="16"/>
          <w:szCs w:val="16"/>
          <w:color w:val="auto"/>
        </w:rPr>
        <w:t xml:space="preserve"> Each Option and SAR shall become exercisable in accordance with such terms and conditions and during such periods as may be established by the Committee, but in no event shall the Option or SAR remain exercisable after the seven-year anniversary of the date of grant.</w:t>
      </w:r>
    </w:p>
    <w:p>
      <w:pPr>
        <w:spacing w:after="0" w:line="141" w:lineRule="exact"/>
        <w:rPr>
          <w:sz w:val="20"/>
          <w:szCs w:val="20"/>
          <w:color w:val="auto"/>
        </w:rPr>
      </w:pPr>
    </w:p>
    <w:p>
      <w:pPr>
        <w:ind w:right="660" w:firstLine="614"/>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Payment of Option Exercise Price.</w:t>
      </w:r>
      <w:r>
        <w:rPr>
          <w:rFonts w:ascii="Arial" w:cs="Arial" w:eastAsia="Arial" w:hAnsi="Arial"/>
          <w:sz w:val="18"/>
          <w:szCs w:val="18"/>
          <w:color w:val="auto"/>
        </w:rPr>
        <w:t xml:space="preserve"> The payment of the Exercise Price of an Option granted under this Section II shall be subject to the following:</w:t>
      </w:r>
    </w:p>
    <w:p>
      <w:pPr>
        <w:spacing w:after="0" w:line="186" w:lineRule="exact"/>
        <w:rPr>
          <w:sz w:val="20"/>
          <w:szCs w:val="20"/>
          <w:color w:val="auto"/>
        </w:rPr>
      </w:pPr>
    </w:p>
    <w:p>
      <w:pPr>
        <w:ind w:right="80" w:firstLine="622"/>
        <w:spacing w:after="0" w:line="259" w:lineRule="auto"/>
        <w:tabs>
          <w:tab w:leader="none" w:pos="941"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Subject to the following provisions of this Section 2.4, the full Exercise Price for shares of Stock purchased upon the exercise of any Option shall be paid at the time of such exercise (except that, in the case of an exercise arrangement described in Section 2.4(c), payment may be made as soon as practicable after the exercise).</w:t>
      </w:r>
    </w:p>
    <w:p>
      <w:pPr>
        <w:spacing w:after="0" w:line="193" w:lineRule="exact"/>
        <w:rPr>
          <w:rFonts w:ascii="Arial" w:cs="Arial" w:eastAsia="Arial" w:hAnsi="Arial"/>
          <w:sz w:val="18"/>
          <w:szCs w:val="18"/>
          <w:color w:val="auto"/>
        </w:rPr>
      </w:pPr>
    </w:p>
    <w:p>
      <w:pPr>
        <w:ind w:right="20" w:firstLine="622"/>
        <w:spacing w:after="0" w:line="306" w:lineRule="auto"/>
        <w:tabs>
          <w:tab w:leader="none" w:pos="94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Exercise Price shall be payable in cash or, in the discretion of the Committee, either by tendering shares of Stock (by actual delivery of shares or by attestation), or by the withholding of shares of Stock that otherwise would have been delivered as a result of the exercise of the Option, in each case valued at Fair Market Value as of the day of exercise, or in any combination thereof, as determined by the Committee.</w:t>
      </w:r>
    </w:p>
    <w:p>
      <w:pPr>
        <w:spacing w:after="0" w:line="160" w:lineRule="exact"/>
        <w:rPr>
          <w:rFonts w:ascii="Arial" w:cs="Arial" w:eastAsia="Arial" w:hAnsi="Arial"/>
          <w:sz w:val="16"/>
          <w:szCs w:val="16"/>
          <w:color w:val="auto"/>
        </w:rPr>
      </w:pPr>
    </w:p>
    <w:p>
      <w:pPr>
        <w:ind w:right="60" w:firstLine="622"/>
        <w:spacing w:after="0" w:line="259" w:lineRule="auto"/>
        <w:tabs>
          <w:tab w:leader="none" w:pos="9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Committee may permit a Participant to elect to pay the Exercise Price upon the exercise of an Option by irrevocably authorizing a third party to sell shares of Stock (or a sufficient portion of the shares) acquired upon exercise of the Option and remit to the Company a sufficient portion of the sale proceeds to pay the entire Exercise Price and any tax withholding resulting from such exercise.</w:t>
      </w:r>
    </w:p>
    <w:p>
      <w:pPr>
        <w:spacing w:after="0" w:line="194" w:lineRule="exact"/>
        <w:rPr>
          <w:sz w:val="20"/>
          <w:szCs w:val="20"/>
          <w:color w:val="auto"/>
        </w:rPr>
      </w:pPr>
    </w:p>
    <w:p>
      <w:pPr>
        <w:ind w:left="620"/>
        <w:spacing w:after="0"/>
        <w:tabs>
          <w:tab w:leader="none" w:pos="1000" w:val="left"/>
          <w:tab w:leader="none" w:pos="26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i w:val="1"/>
          <w:iCs w:val="1"/>
          <w:color w:val="auto"/>
        </w:rPr>
        <w:t>Settlement of Award.</w:t>
      </w:r>
      <w:r>
        <w:rPr>
          <w:sz w:val="20"/>
          <w:szCs w:val="20"/>
          <w:color w:val="auto"/>
        </w:rPr>
        <w:tab/>
      </w:r>
      <w:r>
        <w:rPr>
          <w:rFonts w:ascii="Arial" w:cs="Arial" w:eastAsia="Arial" w:hAnsi="Arial"/>
          <w:sz w:val="15"/>
          <w:szCs w:val="15"/>
          <w:color w:val="auto"/>
        </w:rPr>
        <w:t>Settlement of Options and SARs is subject to Section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OTHER AWARDS</w:t>
      </w:r>
    </w:p>
    <w:p>
      <w:pPr>
        <w:spacing w:after="0" w:line="219"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Definitions.</w:t>
      </w:r>
    </w:p>
    <w:p>
      <w:pPr>
        <w:spacing w:after="0" w:line="225" w:lineRule="exact"/>
        <w:rPr>
          <w:sz w:val="20"/>
          <w:szCs w:val="20"/>
          <w:color w:val="auto"/>
        </w:rPr>
      </w:pPr>
    </w:p>
    <w:p>
      <w:pPr>
        <w:ind w:right="120" w:firstLine="622"/>
        <w:spacing w:after="0" w:line="306" w:lineRule="auto"/>
        <w:tabs>
          <w:tab w:leader="none" w:pos="931"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"Cash Incentive Award" is a grant of a right to receive a designated dollar value amount in cash that is not calculated by reference to the Fair Market Value of a share of Stock and is subject to a risk of forfeiture or other restrictions that will lapse upon the achievement of one or more goals relating to completion of service by the Participant, or achievement of performance or other objectives, as determined by the Committee.</w:t>
      </w:r>
    </w:p>
    <w:p>
      <w:pPr>
        <w:spacing w:after="0" w:line="160" w:lineRule="exact"/>
        <w:rPr>
          <w:rFonts w:ascii="Arial" w:cs="Arial" w:eastAsia="Arial" w:hAnsi="Arial"/>
          <w:sz w:val="16"/>
          <w:szCs w:val="16"/>
          <w:color w:val="auto"/>
        </w:rPr>
      </w:pPr>
    </w:p>
    <w:p>
      <w:pPr>
        <w:jc w:val="both"/>
        <w:ind w:right="320" w:firstLine="622"/>
        <w:spacing w:after="0" w:line="298" w:lineRule="auto"/>
        <w:tabs>
          <w:tab w:leader="none" w:pos="941"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"Other Stock-Based Award" is any Award other than an Option, SAR, Stock Unit Award, Restricted Stock Award or Restricted Stock Unit Award, that is denominated or payable in, valued in whole or in part by reference to, or otherwise based on or related to, shares of Stock (including without limitation any award of shares of Stock that is not subject to any vesting or other restrictions and any awards of shares of Stock in lieu of obligations to pay cash or deliver other property under the Plan or under any other plan or compensatory arrangements).</w:t>
      </w:r>
    </w:p>
    <w:p>
      <w:pPr>
        <w:spacing w:after="0" w:line="166" w:lineRule="exact"/>
        <w:rPr>
          <w:rFonts w:ascii="Arial" w:cs="Arial" w:eastAsia="Arial" w:hAnsi="Arial"/>
          <w:sz w:val="16"/>
          <w:szCs w:val="16"/>
          <w:color w:val="auto"/>
        </w:rPr>
      </w:pPr>
    </w:p>
    <w:p>
      <w:pPr>
        <w:ind w:right="160" w:firstLine="622"/>
        <w:spacing w:after="0" w:line="254" w:lineRule="auto"/>
        <w:tabs>
          <w:tab w:leader="none" w:pos="9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"Performance Compensation Award" is the grant of any Award designated by the Committee as a Performance Compensation Award pursuant to Section 3.3 that is contingent on the</w:t>
      </w: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achievement of Performance Goals or other performance objectives as determined by the Committee, during a Performance Period.</w:t>
      </w:r>
    </w:p>
    <w:p>
      <w:pPr>
        <w:spacing w:after="0" w:line="225" w:lineRule="exact"/>
        <w:rPr>
          <w:sz w:val="20"/>
          <w:szCs w:val="20"/>
          <w:color w:val="auto"/>
        </w:rPr>
      </w:pPr>
    </w:p>
    <w:p>
      <w:pPr>
        <w:ind w:right="320" w:firstLine="622"/>
        <w:spacing w:after="0" w:line="259" w:lineRule="auto"/>
        <w:tabs>
          <w:tab w:leader="none" w:pos="94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"Restricted Stock Award" is a grant of shares of Stock with such shares of Stock subject to a risk of forfeiture or other restrictions that will lapse upon the achievement of one or more goals relating to completion of service by the Participant, or achievement of performance or other objectives, as determined by the Committee.</w:t>
      </w:r>
    </w:p>
    <w:p>
      <w:pPr>
        <w:spacing w:after="0" w:line="193" w:lineRule="exact"/>
        <w:rPr>
          <w:rFonts w:ascii="Arial" w:cs="Arial" w:eastAsia="Arial" w:hAnsi="Arial"/>
          <w:sz w:val="18"/>
          <w:szCs w:val="18"/>
          <w:color w:val="auto"/>
        </w:rPr>
      </w:pPr>
    </w:p>
    <w:p>
      <w:pPr>
        <w:ind w:right="80" w:firstLine="622"/>
        <w:spacing w:after="0" w:line="256" w:lineRule="auto"/>
        <w:tabs>
          <w:tab w:leader="none" w:pos="93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"Restricted Stock Unit Award" is the grant of a right to receive shares of Stock, cash, other securities or other Awards (as determined in accordance with Section 4.7) in the future, with such right to future delivery of such shares of Stock, cash, other securities or other Awards subject to a risk of forfeiture or other restrictions that will lapse upon the achievement of one or more goals relating to completion of service by the Participant, or achievement of performance or other objectives, as determined by the Committee.</w:t>
      </w:r>
    </w:p>
    <w:p>
      <w:pPr>
        <w:spacing w:after="0" w:line="196" w:lineRule="exact"/>
        <w:rPr>
          <w:rFonts w:ascii="Arial" w:cs="Arial" w:eastAsia="Arial" w:hAnsi="Arial"/>
          <w:sz w:val="18"/>
          <w:szCs w:val="18"/>
          <w:color w:val="auto"/>
        </w:rPr>
      </w:pPr>
    </w:p>
    <w:p>
      <w:pPr>
        <w:ind w:left="960" w:hanging="338"/>
        <w:spacing w:after="0"/>
        <w:tabs>
          <w:tab w:leader="none" w:pos="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"Stock Unit Award" is the grant of a right to receive shares of Stock in the future, which right is not subject to future vesting conditions.</w:t>
      </w:r>
    </w:p>
    <w:p>
      <w:pPr>
        <w:spacing w:after="0" w:line="248" w:lineRule="exact"/>
        <w:rPr>
          <w:sz w:val="20"/>
          <w:szCs w:val="20"/>
          <w:color w:val="auto"/>
        </w:rPr>
      </w:pPr>
    </w:p>
    <w:p>
      <w:pPr>
        <w:ind w:right="280" w:firstLine="614"/>
        <w:spacing w:after="0" w:line="33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Restrictions on Awards.</w:t>
      </w:r>
      <w:r>
        <w:rPr>
          <w:rFonts w:ascii="Arial" w:cs="Arial" w:eastAsia="Arial" w:hAnsi="Arial"/>
          <w:sz w:val="16"/>
          <w:szCs w:val="16"/>
          <w:color w:val="auto"/>
        </w:rPr>
        <w:t xml:space="preserve"> Each Stock Unit Award, Performance Compensation Award, Restricted Stock Award, Restricted Stock Unit Award, Other Stock-Based Award and Cash Incentive Award shall be subject to such conditions, restrictions and contingencies as the Committee shall determine.</w:t>
      </w:r>
    </w:p>
    <w:p>
      <w:pPr>
        <w:spacing w:after="0" w:line="141"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i w:val="1"/>
          <w:iCs w:val="1"/>
          <w:color w:val="auto"/>
        </w:rPr>
        <w:t>Performance Compensation Awards.</w:t>
      </w:r>
    </w:p>
    <w:p>
      <w:pPr>
        <w:spacing w:after="0" w:line="225" w:lineRule="exact"/>
        <w:rPr>
          <w:sz w:val="20"/>
          <w:szCs w:val="20"/>
          <w:color w:val="auto"/>
        </w:rPr>
      </w:pPr>
    </w:p>
    <w:p>
      <w:pPr>
        <w:ind w:right="40" w:firstLine="622"/>
        <w:spacing w:after="0" w:line="282" w:lineRule="auto"/>
        <w:tabs>
          <w:tab w:leader="none" w:pos="941"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Subject to the provisions of Section 4.2(e)(ii) (relating to the limitations on the maximum amount of specified Awards), the Committee may designate any Award as a Performance Compensation Award, the grant or vesting of which is conditioned on the achievement of one or more "Performance Goals." The Committee may establish one or more of the following business criteria for the Company, on a consolidated basis, and/or for any Subsidiary, or for business or geographical units of the Company and/or any Subsidiary (except with respect to the shareholder return measures and earnings per share criteria), as the Performance Goals for such Performance Compensation Awards: (1) earnings per share or diluted earnings per share; (2) revenues or margins; (3) cash flow; (4) gross or net profitability/profit margins (including profitability of a product or service); (5) return measures (including return on net assets, investment, capital, equity, or sales); (6) economic value; enterprise value; (7) direct contribution; (8) net income; (9) pretax earnings; (10) earnings before interest and taxes; (11) earnings before interest, taxes, depreciation and amortization; (12) earnings after interest expense and before non-recurring or special items; (13) operating income; (14) income before interest income or expense, unusual items and income taxes, local, state, federal or foreign and excluding budgeted and actual bonuses which might be paid under any ongoing bonus plans of the Company; (15) working capital; (16) costs or expenses (including specified types or categories thereof); (17) identification and/or consummation of investment opportunities or completion of specified projects, including strategic mergers, acquisitions or divestitures; (18) shareholder return measures; share price; (19) debt reduction or borrowing levels; (20) improvements in capital structure; (21) sales or product volume; days sales outstanding; (22) market share (in the aggregate or by segment); (23) ratios (including operating, leverage, combined); (24) book, economic book or intrinsic book value (including book value per share); (25) entry into new markets, either geographically or by business unit; (26) customer retention and satisfaction; (27) safety and accident rates; (28) strategic plan development and implementation, including turnaround plans; (29) funds from operations; (30) any other financial or operational metric selected by the Committee; or (31) any other criteria as the Committee shall determine in its discretion.</w:t>
      </w:r>
    </w:p>
    <w:p>
      <w:pPr>
        <w:spacing w:after="0" w:line="3"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22"/>
        <w:spacing w:after="0" w:line="302" w:lineRule="auto"/>
        <w:tabs>
          <w:tab w:leader="none" w:pos="941" w:val="left"/>
        </w:tabs>
        <w:numPr>
          <w:ilvl w:val="1"/>
          <w:numId w:val="78"/>
        </w:numPr>
        <w:rPr>
          <w:rFonts w:ascii="Arial" w:cs="Arial" w:eastAsia="Arial" w:hAnsi="Arial"/>
          <w:sz w:val="15"/>
          <w:szCs w:val="15"/>
          <w:color w:val="auto"/>
        </w:rPr>
      </w:pPr>
      <w:r>
        <w:rPr>
          <w:rFonts w:ascii="Arial" w:cs="Arial" w:eastAsia="Arial" w:hAnsi="Arial"/>
          <w:sz w:val="15"/>
          <w:szCs w:val="15"/>
          <w:color w:val="auto"/>
        </w:rPr>
        <w:t>Any of the above Performance Goals may be determined on an absolute or relative basis or as compared to the performance of a published or special index deemed applicable by the Committee including, but not limited to, the Standard &amp; Poor's 500 Stock Index or a group of companies that are selected by the Committee. The Committee may adjust the impact of one or more events or occurrences as the Committee determines appropriate, including, without limitation, (i) acquisitions, divestitures, restructurings, discontinued operations, and other unusual or non-recurring charges or extraordinary items,</w:t>
      </w:r>
    </w:p>
    <w:p>
      <w:pPr>
        <w:spacing w:after="0" w:line="2" w:lineRule="exact"/>
        <w:rPr>
          <w:rFonts w:ascii="Arial" w:cs="Arial" w:eastAsia="Arial" w:hAnsi="Arial"/>
          <w:sz w:val="15"/>
          <w:szCs w:val="15"/>
          <w:color w:val="auto"/>
        </w:rPr>
      </w:pPr>
    </w:p>
    <w:p>
      <w:pPr>
        <w:jc w:val="both"/>
        <w:ind w:right="360" w:firstLine="8"/>
        <w:spacing w:after="0" w:line="302" w:lineRule="auto"/>
        <w:tabs>
          <w:tab w:leader="none" w:pos="258"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 event either not directly related to the operations of the Company or any of its Affiliates, Subsidiaries, divisions, segments or operating units (to the extent applicable to such Performance Goal) or not within the reasonable control of the Company's management, including any macroeconomic or market-driven events or (iii) a change in accounting standards required by generally accepted accounting principles.</w:t>
      </w:r>
    </w:p>
    <w:p>
      <w:pPr>
        <w:spacing w:after="0" w:line="163" w:lineRule="exact"/>
        <w:rPr>
          <w:rFonts w:ascii="Arial" w:cs="Arial" w:eastAsia="Arial" w:hAnsi="Arial"/>
          <w:sz w:val="16"/>
          <w:szCs w:val="16"/>
          <w:color w:val="auto"/>
        </w:rPr>
      </w:pPr>
    </w:p>
    <w:p>
      <w:pPr>
        <w:jc w:val="both"/>
        <w:ind w:right="360" w:firstLine="622"/>
        <w:spacing w:after="0" w:line="369" w:lineRule="auto"/>
        <w:tabs>
          <w:tab w:leader="none" w:pos="941" w:val="left"/>
        </w:tabs>
        <w:numPr>
          <w:ilvl w:val="1"/>
          <w:numId w:val="79"/>
        </w:numPr>
        <w:rPr>
          <w:rFonts w:ascii="Arial" w:cs="Arial" w:eastAsia="Arial" w:hAnsi="Arial"/>
          <w:sz w:val="15"/>
          <w:szCs w:val="15"/>
          <w:color w:val="auto"/>
        </w:rPr>
      </w:pPr>
      <w:r>
        <w:rPr>
          <w:rFonts w:ascii="Arial" w:cs="Arial" w:eastAsia="Arial" w:hAnsi="Arial"/>
          <w:sz w:val="15"/>
          <w:szCs w:val="15"/>
          <w:color w:val="auto"/>
        </w:rPr>
        <w:t>No Participant shall receive any payment under the Plan that is subject to this Section 3.3 unless the Committee has certified, by resolution or other appropriate action in writing, that the Performance Goals and any other material terms previously established by the Committee, have been satisfied.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OPERATION AND ADMINISTRATION</w:t>
      </w:r>
    </w:p>
    <w:p>
      <w:pPr>
        <w:spacing w:after="0" w:line="219" w:lineRule="exact"/>
        <w:rPr>
          <w:sz w:val="20"/>
          <w:szCs w:val="20"/>
          <w:color w:val="auto"/>
        </w:rPr>
      </w:pPr>
    </w:p>
    <w:p>
      <w:pPr>
        <w:ind w:right="340" w:firstLine="614"/>
        <w:spacing w:after="0" w:line="331" w:lineRule="auto"/>
        <w:rPr>
          <w:sz w:val="20"/>
          <w:szCs w:val="20"/>
          <w:color w:val="auto"/>
        </w:rPr>
      </w:pPr>
      <w:r>
        <w:rPr>
          <w:rFonts w:ascii="Arial" w:cs="Arial" w:eastAsia="Arial" w:hAnsi="Arial"/>
          <w:sz w:val="16"/>
          <w:szCs w:val="16"/>
          <w:i w:val="1"/>
          <w:iCs w:val="1"/>
          <w:color w:val="auto"/>
        </w:rPr>
        <w:t>4.1 Effective Date</w:t>
      </w:r>
      <w:r>
        <w:rPr>
          <w:rFonts w:ascii="Arial" w:cs="Arial" w:eastAsia="Arial" w:hAnsi="Arial"/>
          <w:sz w:val="16"/>
          <w:szCs w:val="16"/>
          <w:color w:val="auto"/>
        </w:rPr>
        <w:t>; Term of Plan. The Plan shall be effective as of the Effective Date and shall remain in effect as long as any Awards under it are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provided, however, that no Awards may be granted under the Plan after the tenth anniversary of the Effective Date.</w:t>
      </w:r>
    </w:p>
    <w:p>
      <w:pPr>
        <w:spacing w:after="0" w:line="141" w:lineRule="exact"/>
        <w:rPr>
          <w:sz w:val="20"/>
          <w:szCs w:val="20"/>
          <w:color w:val="auto"/>
        </w:rPr>
      </w:pPr>
    </w:p>
    <w:p>
      <w:pPr>
        <w:ind w:left="620"/>
        <w:spacing w:after="0"/>
        <w:tabs>
          <w:tab w:leader="none" w:pos="1000" w:val="left"/>
          <w:tab w:leader="none" w:pos="2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i w:val="1"/>
          <w:iCs w:val="1"/>
          <w:color w:val="auto"/>
        </w:rPr>
        <w:t>Shares Subject to Plan.</w:t>
      </w:r>
      <w:r>
        <w:rPr>
          <w:sz w:val="20"/>
          <w:szCs w:val="20"/>
          <w:color w:val="auto"/>
        </w:rPr>
        <w:tab/>
      </w:r>
      <w:r>
        <w:rPr>
          <w:rFonts w:ascii="Arial" w:cs="Arial" w:eastAsia="Arial" w:hAnsi="Arial"/>
          <w:sz w:val="15"/>
          <w:szCs w:val="15"/>
          <w:color w:val="auto"/>
        </w:rPr>
        <w:t>The shares of Stock for which Awards may be granted under the Plan shall be subject to the following:</w:t>
      </w:r>
    </w:p>
    <w:p>
      <w:pPr>
        <w:spacing w:after="0" w:line="225" w:lineRule="exact"/>
        <w:rPr>
          <w:sz w:val="20"/>
          <w:szCs w:val="20"/>
          <w:color w:val="auto"/>
        </w:rPr>
      </w:pPr>
    </w:p>
    <w:p>
      <w:pPr>
        <w:ind w:right="80" w:firstLine="622"/>
        <w:spacing w:after="0" w:line="331" w:lineRule="auto"/>
        <w:tabs>
          <w:tab w:leader="none" w:pos="93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shares of Stock with respect to which Awards may be made under the Plan shall be shares currently authorized but unissued or currently held or subsequently acquired by the Company as treasury shares, including shares purchased in the open market or in private transactions.</w:t>
      </w:r>
    </w:p>
    <w:p>
      <w:pPr>
        <w:spacing w:after="0" w:line="140" w:lineRule="exact"/>
        <w:rPr>
          <w:rFonts w:ascii="Arial" w:cs="Arial" w:eastAsia="Arial" w:hAnsi="Arial"/>
          <w:sz w:val="16"/>
          <w:szCs w:val="16"/>
          <w:color w:val="auto"/>
        </w:rPr>
      </w:pPr>
    </w:p>
    <w:p>
      <w:pPr>
        <w:ind w:right="20" w:firstLine="622"/>
        <w:spacing w:after="0" w:line="298" w:lineRule="auto"/>
        <w:tabs>
          <w:tab w:leader="none" w:pos="951" w:val="left"/>
        </w:tabs>
        <w:numPr>
          <w:ilvl w:val="0"/>
          <w:numId w:val="80"/>
        </w:numPr>
        <w:rPr>
          <w:rFonts w:ascii="Arial" w:cs="Arial" w:eastAsia="Arial" w:hAnsi="Arial"/>
          <w:sz w:val="16"/>
          <w:szCs w:val="16"/>
          <w:color w:val="auto"/>
        </w:rPr>
      </w:pPr>
      <w:r>
        <w:rPr>
          <w:rFonts w:ascii="Arial" w:cs="Arial" w:eastAsia="Arial" w:hAnsi="Arial"/>
          <w:sz w:val="16"/>
          <w:szCs w:val="16"/>
          <w:color w:val="auto"/>
        </w:rPr>
        <w:t>Subject to the following provisions of this Section 4.2, the maximum number of shares of Stock that may be delivered to Participants and their beneficiaries under the Plan shall be equal to the sum of: (i) 1,550,000; plus (ii) any shares of Stock remaining available for future awards under a Prior Plan on the Effective Date; plus (iii) any shares of Stock with respect to Awards and Prior Plan Awards that are forfeited, canceled, expire unexercised, or are settled in cash following the Effective Date. Upon shareholder approval of the Plan, no further awards will be made under any Prior Plans.</w:t>
      </w:r>
    </w:p>
    <w:p>
      <w:pPr>
        <w:spacing w:after="0" w:line="166" w:lineRule="exact"/>
        <w:rPr>
          <w:rFonts w:ascii="Arial" w:cs="Arial" w:eastAsia="Arial" w:hAnsi="Arial"/>
          <w:sz w:val="16"/>
          <w:szCs w:val="16"/>
          <w:color w:val="auto"/>
        </w:rPr>
      </w:pPr>
    </w:p>
    <w:p>
      <w:pPr>
        <w:ind w:right="60" w:firstLine="622"/>
        <w:spacing w:after="0" w:line="294" w:lineRule="auto"/>
        <w:tabs>
          <w:tab w:leader="none" w:pos="93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the extent provided by the Committee, any Award may be settled in cash rather than Stock. Notwithstanding any provision of the Plan to the contrary, none of the following shares of Stock shall be available again for delivery under the Plan: (i) any shares of Stock with respect to Awards or Prior Plan Awards that are withheld or tendered (by actual delivery or by attestation) to the Company or not issued to the Participant, in either case, to satisfy the applicable tax withholding obligation or in payment of the exercise price of such Award or Prior Plan Award, or (ii) any shares of Stock repurchased by the Company on the open market with the proceeds of an Award or Prior Plan Award paid to the Company by or on behalf of the Participant.</w:t>
      </w:r>
    </w:p>
    <w:p>
      <w:pPr>
        <w:spacing w:after="0" w:line="169" w:lineRule="exact"/>
        <w:rPr>
          <w:rFonts w:ascii="Arial" w:cs="Arial" w:eastAsia="Arial" w:hAnsi="Arial"/>
          <w:sz w:val="16"/>
          <w:szCs w:val="16"/>
          <w:color w:val="auto"/>
        </w:rPr>
      </w:pPr>
    </w:p>
    <w:p>
      <w:pPr>
        <w:ind w:firstLine="622"/>
        <w:spacing w:after="0" w:line="252" w:lineRule="auto"/>
        <w:tabs>
          <w:tab w:leader="none" w:pos="951"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the avoidance of doubt, the full number of shares of Stock with respect to an Award or Prior Plan Award originally granted (rather than the net number of shares of Stock actually delivered) shall count against the maximum number of shares of Stock available for delivery pursuant to Awards granted under the Plan. Upon exercise of a stock-settled SAR, each such stock-settled SAR originally granted shall be counted as one share of Stock against the maximum aggregate number of</w:t>
      </w:r>
    </w:p>
    <w:p>
      <w:pPr>
        <w:spacing w:after="0" w:line="1"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shares of Stock that may be delivered pursuant to Awards granted under the Plan as provided in Section 4.2(b), regardless of the number of shares of Stock actually delivered upon settlement of such stock-settled SAR.</w:t>
      </w:r>
    </w:p>
    <w:p>
      <w:pPr>
        <w:spacing w:after="0" w:line="186" w:lineRule="exact"/>
        <w:rPr>
          <w:sz w:val="20"/>
          <w:szCs w:val="20"/>
          <w:color w:val="auto"/>
        </w:rPr>
      </w:pPr>
    </w:p>
    <w:p>
      <w:pPr>
        <w:ind w:left="940" w:hanging="318"/>
        <w:spacing w:after="0"/>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to Section 4.2(f), the following additional maximums are imposed under the Plan.</w:t>
      </w:r>
    </w:p>
    <w:p>
      <w:pPr>
        <w:spacing w:after="0" w:line="225" w:lineRule="exact"/>
        <w:rPr>
          <w:rFonts w:ascii="Arial" w:cs="Arial" w:eastAsia="Arial" w:hAnsi="Arial"/>
          <w:sz w:val="18"/>
          <w:szCs w:val="18"/>
          <w:color w:val="auto"/>
        </w:rPr>
      </w:pPr>
    </w:p>
    <w:p>
      <w:pPr>
        <w:ind w:left="1080" w:right="300" w:firstLine="1017"/>
        <w:spacing w:after="0" w:line="268" w:lineRule="auto"/>
        <w:tabs>
          <w:tab w:leader="none" w:pos="2339"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maximum number of shares of Stock that may be issued as a result of the exercise of Options intended to be Incentive Stock Options shall be 2,500,000.</w:t>
      </w:r>
    </w:p>
    <w:p>
      <w:pPr>
        <w:spacing w:after="0" w:line="185" w:lineRule="exact"/>
        <w:rPr>
          <w:rFonts w:ascii="Arial" w:cs="Arial" w:eastAsia="Arial" w:hAnsi="Arial"/>
          <w:sz w:val="18"/>
          <w:szCs w:val="18"/>
          <w:color w:val="auto"/>
        </w:rPr>
      </w:pPr>
    </w:p>
    <w:p>
      <w:pPr>
        <w:ind w:left="2360" w:hanging="307"/>
        <w:spacing w:after="0"/>
        <w:tabs>
          <w:tab w:leader="none" w:pos="2360" w:val="left"/>
        </w:tabs>
        <w:numPr>
          <w:ilvl w:val="2"/>
          <w:numId w:val="81"/>
        </w:numPr>
        <w:rPr>
          <w:rFonts w:ascii="Arial" w:cs="Arial" w:eastAsia="Arial" w:hAnsi="Arial"/>
          <w:sz w:val="18"/>
          <w:szCs w:val="18"/>
          <w:color w:val="auto"/>
        </w:rPr>
      </w:pPr>
      <w:r>
        <w:rPr>
          <w:rFonts w:ascii="Arial" w:cs="Arial" w:eastAsia="Arial" w:hAnsi="Arial"/>
          <w:sz w:val="18"/>
          <w:szCs w:val="18"/>
          <w:color w:val="auto"/>
        </w:rPr>
        <w:t>With respect to Awards that are designated as Performance Compensation Awards:</w:t>
      </w:r>
    </w:p>
    <w:p>
      <w:pPr>
        <w:spacing w:after="0" w:line="225" w:lineRule="exact"/>
        <w:rPr>
          <w:rFonts w:ascii="Arial" w:cs="Arial" w:eastAsia="Arial" w:hAnsi="Arial"/>
          <w:sz w:val="18"/>
          <w:szCs w:val="18"/>
          <w:color w:val="auto"/>
        </w:rPr>
      </w:pPr>
    </w:p>
    <w:p>
      <w:pPr>
        <w:jc w:val="both"/>
        <w:ind w:left="2160" w:right="60" w:firstLine="622"/>
        <w:spacing w:after="0" w:line="298" w:lineRule="auto"/>
        <w:tabs>
          <w:tab w:leader="none" w:pos="3106" w:val="left"/>
        </w:tabs>
        <w:numPr>
          <w:ilvl w:val="3"/>
          <w:numId w:val="81"/>
        </w:numPr>
        <w:rPr>
          <w:rFonts w:ascii="Arial" w:cs="Arial" w:eastAsia="Arial" w:hAnsi="Arial"/>
          <w:sz w:val="16"/>
          <w:szCs w:val="16"/>
          <w:color w:val="auto"/>
        </w:rPr>
      </w:pPr>
      <w:r>
        <w:rPr>
          <w:rFonts w:ascii="Arial" w:cs="Arial" w:eastAsia="Arial" w:hAnsi="Arial"/>
          <w:sz w:val="16"/>
          <w:szCs w:val="16"/>
          <w:color w:val="auto"/>
        </w:rPr>
        <w:t>in the case of such Awards that are settled in shares of Stock, no more than 600,000 shares of Stock may be subject to such Awards granted to any one Participant with respect to any one fiscal-year Performance Period (multiplied by the number of complete fiscal year Performance Periods (and fractions thereof) over which the Performance Goals are measured if based upon satisfaction of Performance Goals measured over a Performance Period of more than one fiscal year);</w:t>
      </w:r>
    </w:p>
    <w:p>
      <w:pPr>
        <w:spacing w:after="0" w:line="166" w:lineRule="exact"/>
        <w:rPr>
          <w:rFonts w:ascii="Arial" w:cs="Arial" w:eastAsia="Arial" w:hAnsi="Arial"/>
          <w:sz w:val="16"/>
          <w:szCs w:val="16"/>
          <w:color w:val="auto"/>
        </w:rPr>
      </w:pPr>
    </w:p>
    <w:p>
      <w:pPr>
        <w:ind w:left="2160" w:firstLine="622"/>
        <w:spacing w:after="0" w:line="291" w:lineRule="auto"/>
        <w:tabs>
          <w:tab w:leader="none" w:pos="3096" w:val="left"/>
        </w:tabs>
        <w:numPr>
          <w:ilvl w:val="3"/>
          <w:numId w:val="81"/>
        </w:numPr>
        <w:rPr>
          <w:rFonts w:ascii="Arial" w:cs="Arial" w:eastAsia="Arial" w:hAnsi="Arial"/>
          <w:sz w:val="16"/>
          <w:szCs w:val="16"/>
          <w:color w:val="auto"/>
        </w:rPr>
      </w:pPr>
      <w:r>
        <w:rPr>
          <w:rFonts w:ascii="Arial" w:cs="Arial" w:eastAsia="Arial" w:hAnsi="Arial"/>
          <w:sz w:val="16"/>
          <w:szCs w:val="16"/>
          <w:color w:val="auto"/>
        </w:rPr>
        <w:t>in the case of such Awards that are settled in cash based on the Fair Market Value of a share of Stock, the maximum aggregate amount of cash that may be paid pursuant to such Awards granted to any one Participant with respect to any one fiscal-year Performance Period shall be equal to 600,000 shares of Stock multiplied by the per share Fair Market Value as of the relevant vesting, payment or settlement date (multiplied by the number of complete fiscal year Performance Periods (and fractions thereof) over which the Performance Goals are measured if based upon satisfaction of Performance Goals measured over a Performance Period of more than one fiscal year); and</w:t>
      </w:r>
    </w:p>
    <w:p>
      <w:pPr>
        <w:spacing w:after="0" w:line="173" w:lineRule="exact"/>
        <w:rPr>
          <w:rFonts w:ascii="Arial" w:cs="Arial" w:eastAsia="Arial" w:hAnsi="Arial"/>
          <w:sz w:val="16"/>
          <w:szCs w:val="16"/>
          <w:color w:val="auto"/>
        </w:rPr>
      </w:pPr>
    </w:p>
    <w:p>
      <w:pPr>
        <w:ind w:left="2160" w:right="20" w:firstLine="622"/>
        <w:spacing w:after="0" w:line="294" w:lineRule="auto"/>
        <w:tabs>
          <w:tab w:leader="none" w:pos="3096" w:val="left"/>
        </w:tabs>
        <w:numPr>
          <w:ilvl w:val="3"/>
          <w:numId w:val="81"/>
        </w:numPr>
        <w:rPr>
          <w:rFonts w:ascii="Arial" w:cs="Arial" w:eastAsia="Arial" w:hAnsi="Arial"/>
          <w:sz w:val="16"/>
          <w:szCs w:val="16"/>
          <w:color w:val="auto"/>
        </w:rPr>
      </w:pPr>
      <w:r>
        <w:rPr>
          <w:rFonts w:ascii="Arial" w:cs="Arial" w:eastAsia="Arial" w:hAnsi="Arial"/>
          <w:sz w:val="16"/>
          <w:szCs w:val="16"/>
          <w:color w:val="auto"/>
        </w:rPr>
        <w:t>in the case of all such Awards other than those described in clauses (A) and (B), the maximum aggregate amount of cash and other property (valued at its Fair Market Value) other than shares of Stock that may be paid or delivered pursuant to such Awards granted to any one Participant in any one fiscal-year Performance Period shall be equal to $10,000,000 (multiplied by the number of complete fiscal year Performance Periods (and fractions thereof) over which the Performance Goals are measured if based upon satisfaction of Performance Goals measured over a Performance Period of more than one fiscal year).</w:t>
      </w:r>
    </w:p>
    <w:p>
      <w:pPr>
        <w:spacing w:after="0" w:line="169" w:lineRule="exact"/>
        <w:rPr>
          <w:rFonts w:ascii="Arial" w:cs="Arial" w:eastAsia="Arial" w:hAnsi="Arial"/>
          <w:sz w:val="16"/>
          <w:szCs w:val="16"/>
          <w:color w:val="auto"/>
        </w:rPr>
      </w:pPr>
    </w:p>
    <w:p>
      <w:pPr>
        <w:ind w:left="1080" w:right="60" w:firstLine="885"/>
        <w:spacing w:after="0" w:line="312" w:lineRule="auto"/>
        <w:tabs>
          <w:tab w:leader="none" w:pos="2305" w:val="left"/>
        </w:tabs>
        <w:numPr>
          <w:ilvl w:val="1"/>
          <w:numId w:val="81"/>
        </w:numPr>
        <w:rPr>
          <w:rFonts w:ascii="Arial" w:cs="Arial" w:eastAsia="Arial" w:hAnsi="Arial"/>
          <w:sz w:val="15"/>
          <w:szCs w:val="15"/>
          <w:color w:val="auto"/>
        </w:rPr>
      </w:pPr>
      <w:r>
        <w:rPr>
          <w:rFonts w:ascii="Arial" w:cs="Arial" w:eastAsia="Arial" w:hAnsi="Arial"/>
          <w:sz w:val="15"/>
          <w:szCs w:val="15"/>
          <w:color w:val="auto"/>
        </w:rPr>
        <w:t>With respect to Awards granted to Independent Directors, (A) in the case of such Awards that are settled in shares of Stock, no more than 60,000 shares of Stock may be subject to such Awards granted to any one Independent Director in any fiscal year, (B) in the case of such Awards that are settled in cash based on the Fair Market Value of a share of Stock, the maximum aggregate amount of cash that may be paid pursuant to such Awards granted to any one Independent Director in any fiscal year shall be equal to 60,000 shares of Stock multiplied by the per share Fair Market Value as of the relevant vesting, payment or settlement date, and (C) in the case of all Awards other than those described in clauses (A) and (B), the maximum aggregate amount of cash and other property (valued at its Fair Market Value) other than shares of Stock that may be paid or delivered pursuant to such Awards to any one Independent Director in any fiscal year shall be equal to $500,000.</w:t>
      </w:r>
    </w:p>
    <w:p>
      <w:pPr>
        <w:spacing w:after="0" w:line="158" w:lineRule="exact"/>
        <w:rPr>
          <w:rFonts w:ascii="Arial" w:cs="Arial" w:eastAsia="Arial" w:hAnsi="Arial"/>
          <w:sz w:val="15"/>
          <w:szCs w:val="15"/>
          <w:color w:val="auto"/>
        </w:rPr>
      </w:pPr>
    </w:p>
    <w:p>
      <w:pPr>
        <w:ind w:left="1080" w:right="660" w:firstLine="929"/>
        <w:spacing w:after="0" w:line="254" w:lineRule="auto"/>
        <w:tabs>
          <w:tab w:leader="none" w:pos="2343" w:val="left"/>
        </w:tabs>
        <w:numPr>
          <w:ilvl w:val="2"/>
          <w:numId w:val="82"/>
        </w:numPr>
        <w:rPr>
          <w:rFonts w:ascii="Arial" w:cs="Arial" w:eastAsia="Arial" w:hAnsi="Arial"/>
          <w:sz w:val="18"/>
          <w:szCs w:val="18"/>
          <w:color w:val="auto"/>
        </w:rPr>
      </w:pPr>
      <w:r>
        <w:rPr>
          <w:rFonts w:ascii="Arial" w:cs="Arial" w:eastAsia="Arial" w:hAnsi="Arial"/>
          <w:sz w:val="18"/>
          <w:szCs w:val="18"/>
          <w:color w:val="auto"/>
        </w:rPr>
        <w:t>Substitute Awards shall not reduce the shares of Stock authorized for grant under the Plan or authorized for grant to a Participant in any period. Additionally, in the event</w:t>
      </w: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88" w:lineRule="auto"/>
        <w:rPr>
          <w:sz w:val="20"/>
          <w:szCs w:val="20"/>
          <w:color w:val="auto"/>
        </w:rPr>
      </w:pPr>
      <w:r>
        <w:rPr>
          <w:rFonts w:ascii="Arial" w:cs="Arial" w:eastAsia="Arial" w:hAnsi="Arial"/>
          <w:sz w:val="16"/>
          <w:szCs w:val="16"/>
          <w:color w:val="auto"/>
        </w:rPr>
        <w:t>that a company acquired by the Company or any Subsidiary, or with which the Company or any Subsidiary combines has shares available under a pre-existing plan approved by shareholders and not adopted in contemplation of such acquisition or combination, the shares of stock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Stock authorized for delivery under the Plan; provided that Awards using such available shares of Stock shall not be made after the date awards or grants could have been made under the terms of the pre-existing plan, absent the acquisition or combination, and shall only be made to individuals who were not employees, officers, or members of the board of directors of the Company or Subsidiaries, or consultants or other persons providing services to the Company or any Subsidiary, prior to such acquisition or combination.</w:t>
      </w:r>
    </w:p>
    <w:p>
      <w:pPr>
        <w:spacing w:after="0" w:line="173" w:lineRule="exact"/>
        <w:rPr>
          <w:sz w:val="20"/>
          <w:szCs w:val="20"/>
          <w:color w:val="auto"/>
        </w:rPr>
      </w:pPr>
    </w:p>
    <w:p>
      <w:pPr>
        <w:ind w:right="40" w:firstLine="622"/>
        <w:spacing w:after="0" w:line="285" w:lineRule="auto"/>
        <w:tabs>
          <w:tab w:leader="none" w:pos="965"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the event of any equity restructuring, such as a stock dividend, stock split, spin-off, reverse stock split, split-up, rights offering, recapitalization or non-recurring cash dividend or other distribution (whether in the form of shares of Stock, other securities or other property), the Committee shall adjust each Award, in such manner as the Committee shall determine, to prevent dilution or enlargement of the rights of the holders with respect to outstanding awards. In addition, in the event of any merger, consolidation, combination, exchange of shares or other similar corporate transaction (including any Change of Control), the Committee may make other adjustments to outstanding Awards (and to any limitations on the number or kind of Awards that may be granted under the Plan in the future) to preserve the benefits or potential benefits of the Awards. Action by the Committee pursuant to this Section 4.2(f) may include, to the extent that the Committee determines to be appropriate: (i) adjustment to the number or kind of shares which may be delivered under the Plan, including but not limited to, increases in the limitations set forth in subsection (b) above and paragraphs (i) through (iii) of subsection (e) above; (ii) adjustment of the number and kind of shares subject to outstanding Awards; (iii) adjustment of the Exercise Price of outstanding Options and SARs; and (iv) any other adjustments that the Committee determines to be equitable or appropriate, including but not limited to, (A) a cash payment to the holder of an outstanding Award in consideration for the cancelation of such Award, including, in the case of an outstanding Option or SAR, a cash payment to the holder of such Option or SAR in an amount equal to the excess, if any, of the Fair Market Value (as of a date specified by the Committee) of the shares of Stock subject to such Option or SAR over the aggregate Exercise Price of such Option or SAR and (B) cancel and terminate any Option or SAR having a per share Exercise Price equal to, or in excess of, the Fair Market Value of a share of Stock subject to such Option or SAR without any payment or consideration therefor.</w:t>
      </w:r>
    </w:p>
    <w:p>
      <w:pPr>
        <w:spacing w:after="0" w:line="181" w:lineRule="exact"/>
        <w:rPr>
          <w:sz w:val="20"/>
          <w:szCs w:val="20"/>
          <w:color w:val="auto"/>
        </w:rPr>
      </w:pPr>
    </w:p>
    <w:p>
      <w:pPr>
        <w:ind w:left="620"/>
        <w:spacing w:after="0"/>
        <w:tabs>
          <w:tab w:leader="none" w:pos="1000" w:val="left"/>
          <w:tab w:leader="none" w:pos="2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General Restrictions.</w:t>
      </w:r>
      <w:r>
        <w:rPr>
          <w:sz w:val="20"/>
          <w:szCs w:val="20"/>
          <w:color w:val="auto"/>
        </w:rPr>
        <w:tab/>
      </w:r>
      <w:r>
        <w:rPr>
          <w:rFonts w:ascii="Arial" w:cs="Arial" w:eastAsia="Arial" w:hAnsi="Arial"/>
          <w:sz w:val="15"/>
          <w:szCs w:val="15"/>
          <w:color w:val="auto"/>
        </w:rPr>
        <w:t>Delivery of shares of Stock or other amounts under the Plan shall be subject to the following:</w:t>
      </w:r>
    </w:p>
    <w:p>
      <w:pPr>
        <w:spacing w:after="0" w:line="225" w:lineRule="exact"/>
        <w:rPr>
          <w:sz w:val="20"/>
          <w:szCs w:val="20"/>
          <w:color w:val="auto"/>
        </w:rPr>
      </w:pPr>
    </w:p>
    <w:p>
      <w:pPr>
        <w:ind w:right="220" w:firstLine="622"/>
        <w:spacing w:after="0" w:line="306" w:lineRule="auto"/>
        <w:tabs>
          <w:tab w:leader="none" w:pos="941"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Notwithstanding any other provision of the Plan, the Company shall have no liability to deliver any shares of Stock under the Plan or make any other distribution of benefits under the Plan unless such delivery or distribution would comply with all applicable laws (including, without limitation, the requirements of the Securities Act of 1933, as amended), and the applicable requirements of any securities exchange or similar entity.</w:t>
      </w:r>
    </w:p>
    <w:p>
      <w:pPr>
        <w:spacing w:after="0" w:line="160" w:lineRule="exact"/>
        <w:rPr>
          <w:rFonts w:ascii="Arial" w:cs="Arial" w:eastAsia="Arial" w:hAnsi="Arial"/>
          <w:sz w:val="16"/>
          <w:szCs w:val="16"/>
          <w:color w:val="auto"/>
        </w:rPr>
      </w:pPr>
    </w:p>
    <w:p>
      <w:pPr>
        <w:ind w:right="180" w:firstLine="622"/>
        <w:spacing w:after="0" w:line="285" w:lineRule="auto"/>
        <w:tabs>
          <w:tab w:leader="none" w:pos="9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the extent that the Plan provides for issuance of stock certificates to reflect the issuance of shares of Stock, the issuance may be effected on a non-certificated basis, to the extent not prohibited by applicable law or the applicable rules of any securities exchange.</w:t>
      </w:r>
    </w:p>
    <w:p>
      <w:pPr>
        <w:spacing w:after="0" w:line="1"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i w:val="1"/>
          <w:iCs w:val="1"/>
          <w:color w:val="auto"/>
        </w:rPr>
        <w:t>Minimum Vesting Requirement.</w:t>
      </w:r>
    </w:p>
    <w:p>
      <w:pPr>
        <w:spacing w:after="0" w:line="225" w:lineRule="exact"/>
        <w:rPr>
          <w:sz w:val="20"/>
          <w:szCs w:val="20"/>
          <w:color w:val="auto"/>
        </w:rPr>
      </w:pPr>
    </w:p>
    <w:p>
      <w:pPr>
        <w:ind w:right="240" w:firstLine="622"/>
        <w:spacing w:after="0" w:line="306" w:lineRule="auto"/>
        <w:tabs>
          <w:tab w:leader="none" w:pos="931"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All equity-based Awards granted under the Plan shall be subject to a minimum vesting period of one (1) year from the date of grant (excluding, for this purpose, any Substitute Awards and shares of Stock issued to Eligible Persons pursuant to their election to receive shares of Stock in lieu of cash compensation); provided that up to five percent (5%) of the shares of Stock available under the Plan may be granted free of any vesting requirements.</w:t>
      </w:r>
    </w:p>
    <w:p>
      <w:pPr>
        <w:spacing w:after="0" w:line="160" w:lineRule="exact"/>
        <w:rPr>
          <w:rFonts w:ascii="Arial" w:cs="Arial" w:eastAsia="Arial" w:hAnsi="Arial"/>
          <w:sz w:val="16"/>
          <w:szCs w:val="16"/>
          <w:color w:val="auto"/>
        </w:rPr>
      </w:pPr>
    </w:p>
    <w:p>
      <w:pPr>
        <w:ind w:right="120" w:firstLine="622"/>
        <w:spacing w:after="0" w:line="256" w:lineRule="auto"/>
        <w:tabs>
          <w:tab w:leader="none" w:pos="9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avoidance of doubt, the foregoing restriction does not apply to the Committee's discretion to provide for accelerated exercisability or vesting of any Award upon the death or disability of a Participant in accordance with the terms of the Plan or the Award Agreement. In addition, the minimum vesting period shall be deemed satisfied with respect to any Award granted to an Independent Director if such Award vests on the earlier of the one-year anniversary of the date of grant and the next annual shareholder meeting.</w:t>
      </w:r>
    </w:p>
    <w:p>
      <w:pPr>
        <w:spacing w:after="0" w:line="197" w:lineRule="exact"/>
        <w:rPr>
          <w:sz w:val="20"/>
          <w:szCs w:val="20"/>
          <w:color w:val="auto"/>
        </w:rPr>
      </w:pPr>
    </w:p>
    <w:p>
      <w:pPr>
        <w:ind w:right="40" w:firstLine="614"/>
        <w:spacing w:after="0" w:line="29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i w:val="1"/>
          <w:iCs w:val="1"/>
          <w:color w:val="auto"/>
        </w:rPr>
        <w:t>Grant and Use of Awards.</w:t>
      </w:r>
      <w:r>
        <w:rPr>
          <w:rFonts w:ascii="Arial" w:cs="Arial" w:eastAsia="Arial" w:hAnsi="Arial"/>
          <w:sz w:val="16"/>
          <w:szCs w:val="16"/>
          <w:color w:val="auto"/>
        </w:rPr>
        <w:t xml:space="preserve"> In the discretion of the Committee, a Participant may be granted any Award permitted under the provisions of the Plan, and more than one Award may be granted to a Participant. Awards may be granted as alternatives to or replacement of awards granted or outstanding under the Plan, or any other plan or arrangement of the Company or a Subsidiary (including a plan or arrangement of a business or entity, all or a portion of which is acquired by the Company or a Subsidiary). Subject to the overall limitation on the number of shares of Stock that may be delivered under the Plan, the Committee may use available shares of Stock as the form of payment for compensation, grants or rights earned or due under any other compensation plans or arrangements of the Company or a Subsidiary, including the plans and arrangements of the Company or a Subsidiary assumed in business combinations.</w:t>
      </w:r>
    </w:p>
    <w:p>
      <w:pPr>
        <w:spacing w:after="0" w:line="174" w:lineRule="exact"/>
        <w:rPr>
          <w:sz w:val="20"/>
          <w:szCs w:val="20"/>
          <w:color w:val="auto"/>
        </w:rPr>
      </w:pPr>
    </w:p>
    <w:p>
      <w:pPr>
        <w:ind w:right="80" w:firstLine="614"/>
        <w:spacing w:after="0" w:line="28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i w:val="1"/>
          <w:iCs w:val="1"/>
          <w:color w:val="auto"/>
        </w:rPr>
        <w:t>Dividends and Dividend Equivalents in Unvested Awards.</w:t>
      </w:r>
      <w:r>
        <w:rPr>
          <w:rFonts w:ascii="Arial" w:cs="Arial" w:eastAsia="Arial" w:hAnsi="Arial"/>
          <w:sz w:val="16"/>
          <w:szCs w:val="16"/>
          <w:color w:val="auto"/>
        </w:rPr>
        <w:t xml:space="preserve"> In no event shall dividends or dividend equivalents be paid with respect any Option or SAR. At the discretion of the Committee, an Award (other than an Option or SAR) may provide the Participant with the right to receive dividends or dividend equivalents with respect to the Stock subject to any such Award for dividends declared during the period that an Award is outstanding, provided, that, any such dividends or dividend equivalents shall be subject to the same vesting conditions and risk of forfeiture as the underlying Award. Subject to the foregoing, any such dividends or dividend equivalents may be credited to an account for the Participant and may be settled in cash or Stock, as determined by the Committee. Any such settlements, and any such crediting of dividends or dividend equivalents or reinvestment in shares of Stock, may be subject to such further conditions, restrictions and contingencies as the Committee shall establish, including the reinvestment of such credited amounts in Stock equivalents or the withholding of such amounts, in each case subject to the same vesting conditions and risk of forfeiture as the underlying Award.</w:t>
      </w:r>
    </w:p>
    <w:p>
      <w:pPr>
        <w:spacing w:after="0" w:line="178" w:lineRule="exact"/>
        <w:rPr>
          <w:sz w:val="20"/>
          <w:szCs w:val="20"/>
          <w:color w:val="auto"/>
        </w:rPr>
      </w:pPr>
    </w:p>
    <w:p>
      <w:pPr>
        <w:ind w:right="60" w:firstLine="614"/>
        <w:spacing w:after="0" w:line="251"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Settlement of Awards.</w:t>
      </w:r>
      <w:r>
        <w:rPr>
          <w:rFonts w:ascii="Arial" w:cs="Arial" w:eastAsia="Arial" w:hAnsi="Arial"/>
          <w:sz w:val="18"/>
          <w:szCs w:val="18"/>
          <w:color w:val="auto"/>
        </w:rPr>
        <w:t xml:space="preserve"> The obligation to make payments and distributions with respect to Awards may be satisfied through cash payments, the delivery of shares of Stock, the granting of replacement Awards, or combination thereof as the Committee shall determine. Satisfaction of any such obligations under an Award, which is sometimes referred to as "settlement" of the Award, may be subject to such conditions, restrictions and contingencies as the Committee shall determine. The Committee may permit or require the deferral of any Award payment, subject to applicable law, the terms of the Plan and such rules and procedures as the Committee may establish, which may include provisions for the payment or crediting of interest or dividend equivalents, and may include converting such credits into deferred Stock equivalents, in each case subject to the same vesting conditions and risk of forfeiture as the underlying Award. Each Subsidiary shall be liable for payment of cash due under the Plan with respect to any Participant to the extent that such benefits are attributable to the</w:t>
      </w:r>
    </w:p>
    <w:p>
      <w:pPr>
        <w:spacing w:after="0" w:line="3"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services rendered for that Subsidiary by the Participant. Any disputes relating to liability of a Subsidiary for cash payments shall be resolved by the Committee.</w:t>
      </w:r>
    </w:p>
    <w:p>
      <w:pPr>
        <w:spacing w:after="0" w:line="248" w:lineRule="exact"/>
        <w:rPr>
          <w:sz w:val="20"/>
          <w:szCs w:val="20"/>
          <w:color w:val="auto"/>
        </w:rPr>
      </w:pPr>
    </w:p>
    <w:p>
      <w:pPr>
        <w:ind w:right="560" w:firstLine="614"/>
        <w:spacing w:after="0" w:line="33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i w:val="1"/>
          <w:iCs w:val="1"/>
          <w:color w:val="auto"/>
        </w:rPr>
        <w:t>Transferability.</w:t>
      </w:r>
      <w:r>
        <w:rPr>
          <w:rFonts w:ascii="Arial" w:cs="Arial" w:eastAsia="Arial" w:hAnsi="Arial"/>
          <w:sz w:val="16"/>
          <w:szCs w:val="16"/>
          <w:color w:val="auto"/>
        </w:rPr>
        <w:t xml:space="preserve"> Except as otherwise provided by the Committee, Awards under the Plan are not transferable except as designated by the Participant by will or by the laws of descent and distribution; provided, however, that in no case may any Award be transferred for value.</w:t>
      </w:r>
    </w:p>
    <w:p>
      <w:pPr>
        <w:spacing w:after="0" w:line="141" w:lineRule="exact"/>
        <w:rPr>
          <w:sz w:val="20"/>
          <w:szCs w:val="20"/>
          <w:color w:val="auto"/>
        </w:rPr>
      </w:pPr>
    </w:p>
    <w:p>
      <w:pPr>
        <w:ind w:right="100" w:firstLine="614"/>
        <w:spacing w:after="0" w:line="256"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Form and Time of Elections.</w:t>
      </w:r>
      <w:r>
        <w:rPr>
          <w:rFonts w:ascii="Arial" w:cs="Arial" w:eastAsia="Arial" w:hAnsi="Arial"/>
          <w:sz w:val="18"/>
          <w:szCs w:val="18"/>
          <w:color w:val="auto"/>
        </w:rPr>
        <w:t xml:space="preserve"> Unless otherwise specified herein, each election required or permitted to be made by any Participant or other person entitled to benefits under the Plan, and any permitted modification, or revocation thereof, shall be in writing filed with the Committee or its designee at such times, in such form, and subject to such restrictions and limitations, not inconsistent with the terms of the Plan, as the Committee or its designee shall require.</w:t>
      </w:r>
    </w:p>
    <w:p>
      <w:pPr>
        <w:spacing w:after="0" w:line="197" w:lineRule="exact"/>
        <w:rPr>
          <w:sz w:val="20"/>
          <w:szCs w:val="20"/>
          <w:color w:val="auto"/>
        </w:rPr>
      </w:pPr>
    </w:p>
    <w:p>
      <w:pPr>
        <w:ind w:right="60" w:firstLine="614"/>
        <w:spacing w:after="0" w:line="254"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with Company. An Award under the Plan shall be subject to such terms and conditions, not inconsistent with the Plan, as the Committee shall, in its sole discretion, prescribe. The terms and conditions of any Award to any Participant shall be reflected in such form of written document as is determined by the Committee. A copy of such document shall be provided to the Participant, and the Committee may, but need not require that the Participant sign a copy of such document. Such document is referred to in the Plan as an "Award Agreement" regardless of whether any Participant signature is required.</w:t>
      </w:r>
    </w:p>
    <w:p>
      <w:pPr>
        <w:spacing w:after="0" w:line="201" w:lineRule="exact"/>
        <w:rPr>
          <w:sz w:val="20"/>
          <w:szCs w:val="20"/>
          <w:color w:val="auto"/>
        </w:rPr>
      </w:pPr>
    </w:p>
    <w:p>
      <w:pPr>
        <w:ind w:right="60" w:firstLine="614"/>
        <w:spacing w:after="0" w:line="254"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i w:val="1"/>
          <w:iCs w:val="1"/>
          <w:color w:val="auto"/>
        </w:rPr>
        <w:t>Clawback.</w:t>
      </w:r>
      <w:r>
        <w:rPr>
          <w:rFonts w:ascii="Arial" w:cs="Arial" w:eastAsia="Arial" w:hAnsi="Arial"/>
          <w:sz w:val="18"/>
          <w:szCs w:val="18"/>
          <w:color w:val="auto"/>
        </w:rPr>
        <w:t xml:space="preserve"> Awards shall be subject to any clawback policy maintained by the Company, as it may exist or be amended from time to time, subject to the discretion of the Committee. Furthermore, if required by Company policy, the Sarbanes-Oxley Act of 2002, the Dodd-Frank Wall Street Reform and Consumer Protection Act of 2010 or any Securities and Exchange Commission rule or other applicable laws, each Participant's Award shall be conditioned on repayment or forfeiture in accordance with such applicable laws, Company policy, and any relevant provisions in the related Award Agreement. Nothing in the Plan shall prevent a Participant from exercising any legally protected whistleblower rights, including pursuant to Section 21F of the Exchange Act or the rules thereunder.</w:t>
      </w:r>
    </w:p>
    <w:p>
      <w:pPr>
        <w:spacing w:after="0" w:line="198" w:lineRule="exact"/>
        <w:rPr>
          <w:sz w:val="20"/>
          <w:szCs w:val="20"/>
          <w:color w:val="auto"/>
        </w:rPr>
      </w:pPr>
    </w:p>
    <w:p>
      <w:pPr>
        <w:ind w:right="40" w:firstLine="614"/>
        <w:spacing w:after="0" w:line="256"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color w:val="auto"/>
        </w:rPr>
        <w:t>Action by Company or Subsidiary.</w:t>
      </w:r>
      <w:r>
        <w:rPr>
          <w:rFonts w:ascii="Arial" w:cs="Arial" w:eastAsia="Arial" w:hAnsi="Arial"/>
          <w:sz w:val="18"/>
          <w:szCs w:val="18"/>
          <w:color w:val="auto"/>
        </w:rPr>
        <w:t xml:space="preserve"> Any action required or permitted to be taken by the Company or any Subsidiary regarding the Plan shall be by resolution of the Committee, or by action of one or more members of the Board (including a committee of the Board) who are duly authorized to act for the Board, or (except to the extent prohibited by applicable law or applicable rules of any securities exchange) by one or more duly authorized officers of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CHANGE OF CONTROL</w:t>
      </w:r>
    </w:p>
    <w:p>
      <w:pPr>
        <w:spacing w:after="0" w:line="219" w:lineRule="exact"/>
        <w:rPr>
          <w:sz w:val="20"/>
          <w:szCs w:val="20"/>
          <w:color w:val="auto"/>
        </w:rPr>
      </w:pPr>
    </w:p>
    <w:p>
      <w:pPr>
        <w:ind w:firstLine="614"/>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Subject to the provisions of Section 4.2(f) (relating to the adjustment of shares), unless otherwise provided in the applicable Award Agreement or an individual employment agreement, in the event of a Change of Control, all Awards that are outstanding and unvested as of immediately prior to a Change of Control (after giving effect to any action by the Committee pursuant to Section 4.2(f) or Section 5.3) shall remain outstanding and unvested immediately thereafter, provided, however, that if within 12 months following a Change of Control, a Participant's employment or services, as applicable, with the Company and its Affiliates is terminated without Cause, then:</w:t>
      </w:r>
    </w:p>
    <w:p>
      <w:pPr>
        <w:spacing w:after="0" w:line="169" w:lineRule="exact"/>
        <w:rPr>
          <w:sz w:val="20"/>
          <w:szCs w:val="20"/>
          <w:color w:val="auto"/>
        </w:rPr>
      </w:pPr>
    </w:p>
    <w:p>
      <w:pPr>
        <w:ind w:left="1080" w:right="380" w:firstLine="622"/>
        <w:spacing w:after="0" w:line="369" w:lineRule="auto"/>
        <w:tabs>
          <w:tab w:leader="none" w:pos="2021"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any outstanding Options or SARs then held by Participants that are unexercisable or otherwise unvested as of the date of such termination shall automatically be deemed exercisable or otherwise vested, as the case may be, as of the date of such termination; and</w:t>
      </w:r>
    </w:p>
    <w:p>
      <w:pPr>
        <w:spacing w:after="0" w:line="117" w:lineRule="exact"/>
        <w:rPr>
          <w:rFonts w:ascii="Arial" w:cs="Arial" w:eastAsia="Arial" w:hAnsi="Arial"/>
          <w:sz w:val="15"/>
          <w:szCs w:val="15"/>
          <w:color w:val="auto"/>
        </w:rPr>
      </w:pPr>
    </w:p>
    <w:p>
      <w:pPr>
        <w:ind w:left="1080" w:right="100" w:firstLine="622"/>
        <w:spacing w:after="0" w:line="254" w:lineRule="auto"/>
        <w:tabs>
          <w:tab w:leader="none" w:pos="2031"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other outstanding Awards (i.e., other than Options and SARs) then held by Participants that are unexercisable, unvested or still subject to restrictions or forfeiture as of</w:t>
      </w: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80"/>
        <w:spacing w:after="0" w:line="268" w:lineRule="auto"/>
        <w:rPr>
          <w:sz w:val="20"/>
          <w:szCs w:val="20"/>
          <w:color w:val="auto"/>
        </w:rPr>
      </w:pPr>
      <w:r>
        <w:rPr>
          <w:rFonts w:ascii="Arial" w:cs="Arial" w:eastAsia="Arial" w:hAnsi="Arial"/>
          <w:sz w:val="18"/>
          <w:szCs w:val="18"/>
          <w:color w:val="auto"/>
        </w:rPr>
        <w:t>the date of such termination, shall automatically be deemed exercisable and vested and all restrictions and forfeiture provisions related thereto shall lapse as of the date of such termination.</w:t>
      </w:r>
    </w:p>
    <w:p>
      <w:pPr>
        <w:spacing w:after="0" w:line="186" w:lineRule="exact"/>
        <w:rPr>
          <w:sz w:val="20"/>
          <w:szCs w:val="20"/>
          <w:color w:val="auto"/>
        </w:rPr>
      </w:pPr>
    </w:p>
    <w:p>
      <w:pPr>
        <w:ind w:right="40" w:firstLine="614"/>
        <w:spacing w:after="0" w:line="290"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Substitution or Assumption.</w:t>
      </w:r>
      <w:r>
        <w:rPr>
          <w:rFonts w:ascii="Arial" w:cs="Arial" w:eastAsia="Arial" w:hAnsi="Arial"/>
          <w:sz w:val="16"/>
          <w:szCs w:val="16"/>
          <w:color w:val="auto"/>
        </w:rPr>
        <w:t xml:space="preserve"> Notwithstanding Section 5.1 and unless otherwise provided in the applicable Award Agreement or an individual employment agreement, in the event of a Change of Control, unless provision is made in connection with the Change of Control for assumption or continuation of Awards previously granted or substitution of such Awards for new awards covering shares of a successor corporation or its "parent corporation" (as defined in Section 424(e) of the Code) or "subsidiary corporation" (as defined in Section 424(f) of the Code) with appropriate adjustments as to the number and kinds of shares and, if applicable, Exercise Prices, that the Committee determines will preserve the material terms and conditions of such Awards as in effect immediately prior to the Change of Control (including, without limitation, with respect to the vesting schedules, the intrinsic value of the awards (if any) as of the Change of Control, and transferability of the shares underlying such Awards) then, subject to Section 5.3:</w:t>
      </w:r>
    </w:p>
    <w:p>
      <w:pPr>
        <w:spacing w:after="0" w:line="172" w:lineRule="exact"/>
        <w:rPr>
          <w:sz w:val="20"/>
          <w:szCs w:val="20"/>
          <w:color w:val="auto"/>
        </w:rPr>
      </w:pPr>
    </w:p>
    <w:p>
      <w:pPr>
        <w:ind w:right="60" w:firstLine="622"/>
        <w:spacing w:after="0" w:line="268" w:lineRule="auto"/>
        <w:tabs>
          <w:tab w:leader="none" w:pos="941"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outstanding Options or SARs then held by Participants that are unexercisable or otherwise unvested shall automatically be deemed exercisable or otherwise vested, as the case may be, as of immediately prior to such Change of Control; and</w:t>
      </w:r>
    </w:p>
    <w:p>
      <w:pPr>
        <w:spacing w:after="0" w:line="185" w:lineRule="exact"/>
        <w:rPr>
          <w:rFonts w:ascii="Arial" w:cs="Arial" w:eastAsia="Arial" w:hAnsi="Arial"/>
          <w:sz w:val="18"/>
          <w:szCs w:val="18"/>
          <w:color w:val="auto"/>
        </w:rPr>
      </w:pPr>
    </w:p>
    <w:p>
      <w:pPr>
        <w:ind w:right="140" w:firstLine="622"/>
        <w:spacing w:after="0" w:line="259" w:lineRule="auto"/>
        <w:tabs>
          <w:tab w:leader="none" w:pos="951"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other outstanding Awards (i.e., other than Options and SARs) then held by Participants that are unvested or still subject to restrictions or forfeiture shall automatically be deemed vested and all restrictions and forfeiture provisions related thereto shall lapse as of immediately prior to such Change of Control.</w:t>
      </w:r>
    </w:p>
    <w:p>
      <w:pPr>
        <w:spacing w:after="0" w:line="194" w:lineRule="exact"/>
        <w:rPr>
          <w:sz w:val="20"/>
          <w:szCs w:val="20"/>
          <w:color w:val="auto"/>
        </w:rPr>
      </w:pPr>
    </w:p>
    <w:p>
      <w:pPr>
        <w:ind w:right="240"/>
        <w:spacing w:after="0" w:line="369" w:lineRule="auto"/>
        <w:rPr>
          <w:sz w:val="20"/>
          <w:szCs w:val="20"/>
          <w:color w:val="auto"/>
        </w:rPr>
      </w:pPr>
      <w:r>
        <w:rPr>
          <w:rFonts w:ascii="Arial" w:cs="Arial" w:eastAsia="Arial" w:hAnsi="Arial"/>
          <w:sz w:val="15"/>
          <w:szCs w:val="15"/>
          <w:color w:val="auto"/>
        </w:rPr>
        <w:t>To the extent practicable, any actions taken by the Committee under this Section 5.2 shall occur in a manner and at a time which allows affected Participants the ability to participate in the Change of Control transaction with respect to the shares of Stock subject to their Awards or Prior Plan Awards, if any.</w:t>
      </w:r>
    </w:p>
    <w:p>
      <w:pPr>
        <w:spacing w:after="0" w:line="118" w:lineRule="exact"/>
        <w:rPr>
          <w:sz w:val="20"/>
          <w:szCs w:val="20"/>
          <w:color w:val="auto"/>
        </w:rPr>
      </w:pPr>
    </w:p>
    <w:p>
      <w:pPr>
        <w:ind w:right="320" w:firstLine="614"/>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Effect on Performance Compensation Awards.</w:t>
      </w:r>
      <w:r>
        <w:rPr>
          <w:rFonts w:ascii="Arial" w:cs="Arial" w:eastAsia="Arial" w:hAnsi="Arial"/>
          <w:sz w:val="18"/>
          <w:szCs w:val="18"/>
          <w:color w:val="auto"/>
        </w:rPr>
        <w:t xml:space="preserve"> Unless otherwise provided in the applicable Award Agreement or an individual employment agreement, with respect to outstanding Performance Compensation Awards in the event of a Change of Control:</w:t>
      </w:r>
    </w:p>
    <w:p>
      <w:pPr>
        <w:spacing w:after="0" w:line="186" w:lineRule="exact"/>
        <w:rPr>
          <w:sz w:val="20"/>
          <w:szCs w:val="20"/>
          <w:color w:val="auto"/>
        </w:rPr>
      </w:pPr>
    </w:p>
    <w:p>
      <w:pPr>
        <w:ind w:right="100" w:firstLine="622"/>
        <w:spacing w:after="0" w:line="268" w:lineRule="auto"/>
        <w:tabs>
          <w:tab w:leader="none" w:pos="941"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Performance Periods that would be in effect on the date the Change of Control occurs shall instead end on the date immediately prior to such Change of Control;</w:t>
      </w:r>
    </w:p>
    <w:p>
      <w:pPr>
        <w:spacing w:after="0" w:line="185" w:lineRule="exact"/>
        <w:rPr>
          <w:rFonts w:ascii="Arial" w:cs="Arial" w:eastAsia="Arial" w:hAnsi="Arial"/>
          <w:sz w:val="18"/>
          <w:szCs w:val="18"/>
          <w:color w:val="auto"/>
        </w:rPr>
      </w:pPr>
    </w:p>
    <w:p>
      <w:pPr>
        <w:ind w:right="160" w:firstLine="622"/>
        <w:spacing w:after="0" w:line="259" w:lineRule="auto"/>
        <w:tabs>
          <w:tab w:leader="none" w:pos="95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Committee shall determine the actual level of achievement of the Performance Goals with respect to each such Performance Period as of the most recent practicable date prior to such Change of Control based upon the Company's audited or unaudited financial information or other information then available as the Committee deems relevant; and</w:t>
      </w:r>
    </w:p>
    <w:p>
      <w:pPr>
        <w:spacing w:after="0" w:line="193" w:lineRule="exact"/>
        <w:rPr>
          <w:rFonts w:ascii="Arial" w:cs="Arial" w:eastAsia="Arial" w:hAnsi="Arial"/>
          <w:sz w:val="18"/>
          <w:szCs w:val="18"/>
          <w:color w:val="auto"/>
        </w:rPr>
      </w:pPr>
    </w:p>
    <w:p>
      <w:pPr>
        <w:ind w:left="940" w:hanging="318"/>
        <w:spacing w:after="0"/>
        <w:tabs>
          <w:tab w:leader="none" w:pos="9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the extent earned, such Performance Compensation Awards shall continue to be subject to any service-based vesting conditions that remain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place.</w:t>
      </w:r>
    </w:p>
    <w:p>
      <w:pPr>
        <w:spacing w:after="0" w:line="219" w:lineRule="exact"/>
        <w:rPr>
          <w:sz w:val="20"/>
          <w:szCs w:val="20"/>
          <w:color w:val="auto"/>
        </w:rPr>
      </w:pPr>
    </w:p>
    <w:p>
      <w:pPr>
        <w:ind w:left="620"/>
        <w:spacing w:after="0"/>
        <w:tabs>
          <w:tab w:leader="none" w:pos="1000" w:val="left"/>
          <w:tab w:leader="none" w:pos="38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i w:val="1"/>
          <w:iCs w:val="1"/>
          <w:color w:val="auto"/>
        </w:rPr>
        <w:t>Section 409A and Change of Control.</w:t>
      </w:r>
      <w:r>
        <w:rPr>
          <w:sz w:val="20"/>
          <w:szCs w:val="20"/>
          <w:color w:val="auto"/>
        </w:rPr>
        <w:tab/>
      </w:r>
      <w:r>
        <w:rPr>
          <w:rFonts w:ascii="Arial" w:cs="Arial" w:eastAsia="Arial" w:hAnsi="Arial"/>
          <w:sz w:val="16"/>
          <w:szCs w:val="16"/>
          <w:color w:val="auto"/>
        </w:rPr>
        <w:t>Notwithstanding anything to the contrary herein and unless otherwise provided in the applicable Award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Agreement or an individual employment agreement, if any amount payable pursuant to an Award constitutes deferred compensation that is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409A of the Code, in the event of a Change of Control, to the extent provided in Section 5.2, any unvested but outstanding Awards shall automatically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 as of the date of such Change of Control and shall not be subject to the forfeiture restrictions following such Change of Control; provided that in the event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such Change of Control does not qualify as an event described</w:t>
      </w:r>
    </w:p>
    <w:p>
      <w:pPr>
        <w:spacing w:after="0" w:line="9"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Section 409A(a)(2)(A)(v) of the Code or to the extent that payment upon such Change of Control would otherwise violate Section 409A of the Code, such Awards (and any other Awards that constitute deferred compensation that vested prior to the date of such Change of Control but are outstanding as of such date) shall not be settled until the earliest permissible payment event under Section 409A of the Code following such Change of Control.</w:t>
      </w:r>
    </w:p>
    <w:p>
      <w:pPr>
        <w:spacing w:after="0" w:line="16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SECTION VI</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COMMITTEE</w:t>
      </w:r>
    </w:p>
    <w:p>
      <w:pPr>
        <w:spacing w:after="0" w:line="219" w:lineRule="exact"/>
        <w:rPr>
          <w:sz w:val="20"/>
          <w:szCs w:val="20"/>
          <w:color w:val="auto"/>
        </w:rPr>
      </w:pPr>
    </w:p>
    <w:p>
      <w:pPr>
        <w:ind w:right="20" w:firstLine="614"/>
        <w:spacing w:after="0" w:line="28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Administration.</w:t>
      </w:r>
      <w:r>
        <w:rPr>
          <w:rFonts w:ascii="Arial" w:cs="Arial" w:eastAsia="Arial" w:hAnsi="Arial"/>
          <w:sz w:val="16"/>
          <w:szCs w:val="16"/>
          <w:color w:val="auto"/>
        </w:rPr>
        <w:t xml:space="preserve"> The authority to control and manage the operation and administration of the Plan shall be vested in the Committee in accordance with this Section VI. The Committee shall be selected by the Board, and shall be comprised solely of two or more members of the Board, each of whom, to the extent required under applicable laws and rules, shall be (i) "independent", within the meaning of the rules of the New York Stock Exchange or, if the shares of Stock are not listed for trading on the New York Stock Exchange, under the rules of the applicable securities exchange on which the shares are listed or quoted and (ii) a "Non-Employee Director", within the meaning of Rule 16b-3 as promulgated and interpreted by the Securities and Exchange Commission under the Exchange Act (each an "Independent Director"). If the Committee does not exist, or for any other reason determined by the Board, the Board may take any action under the Plan that would otherwise be the responsibility of the Committee; provided, however, that in that event, any such action taken by the Board shall require the approval of at least a majority of the Independent Directors.</w:t>
      </w:r>
    </w:p>
    <w:p>
      <w:pPr>
        <w:spacing w:after="0" w:line="178" w:lineRule="exact"/>
        <w:rPr>
          <w:sz w:val="20"/>
          <w:szCs w:val="20"/>
          <w:color w:val="auto"/>
        </w:rPr>
      </w:pPr>
    </w:p>
    <w:p>
      <w:pPr>
        <w:ind w:left="620"/>
        <w:spacing w:after="0"/>
        <w:tabs>
          <w:tab w:leader="none" w:pos="1000" w:val="left"/>
          <w:tab w:leader="none" w:pos="27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i w:val="1"/>
          <w:iCs w:val="1"/>
          <w:color w:val="auto"/>
        </w:rPr>
        <w:t>Powers of Committee.</w:t>
      </w:r>
      <w:r>
        <w:rPr>
          <w:sz w:val="20"/>
          <w:szCs w:val="20"/>
          <w:color w:val="auto"/>
        </w:rPr>
        <w:tab/>
      </w:r>
      <w:r>
        <w:rPr>
          <w:rFonts w:ascii="Arial" w:cs="Arial" w:eastAsia="Arial" w:hAnsi="Arial"/>
          <w:sz w:val="16"/>
          <w:szCs w:val="16"/>
          <w:color w:val="auto"/>
        </w:rPr>
        <w:t>The Committee's administration of the Plan shall be subject to the following:</w:t>
      </w:r>
    </w:p>
    <w:p>
      <w:pPr>
        <w:spacing w:after="0" w:line="225" w:lineRule="exact"/>
        <w:rPr>
          <w:sz w:val="20"/>
          <w:szCs w:val="20"/>
          <w:color w:val="auto"/>
        </w:rPr>
      </w:pPr>
    </w:p>
    <w:p>
      <w:pPr>
        <w:ind w:firstLine="622"/>
        <w:spacing w:after="0" w:line="286" w:lineRule="auto"/>
        <w:tabs>
          <w:tab w:leader="none" w:pos="941" w:val="left"/>
        </w:tabs>
        <w:numPr>
          <w:ilvl w:val="0"/>
          <w:numId w:val="89"/>
        </w:numPr>
        <w:rPr>
          <w:rFonts w:ascii="Arial" w:cs="Arial" w:eastAsia="Arial" w:hAnsi="Arial"/>
          <w:sz w:val="16"/>
          <w:szCs w:val="16"/>
          <w:color w:val="auto"/>
        </w:rPr>
      </w:pPr>
      <w:r>
        <w:rPr>
          <w:rFonts w:ascii="Arial" w:cs="Arial" w:eastAsia="Arial" w:hAnsi="Arial"/>
          <w:sz w:val="16"/>
          <w:szCs w:val="16"/>
          <w:color w:val="auto"/>
        </w:rPr>
        <w:t>Subject to the provisions of the Plan and applicable law, and in addition to the other express powers and authorizations conferred on the Committee by the Plan, the Committee shall have sole and plenary authority to administer the Plan, including the authority (i) to select from among the Eligible Persons those persons who shall receive Awards, (ii) to determine the time or times of receipt, (iii) to determine the types of Awards and the number of shares or dollar value covered by the Awards, (iv) to establish the terms, conditions, performance and vesting criteria, restrictions, terms of exercise and settlement and other provisions of the Awards, (v) to interpret, administer, reconcile any inconsistency in, correct any default in and/or supply any omission in, the Plan and any instrument or agreement relating to, or Award made under, the Plan, (vi) grant a replacement Award for an Award previously granted under the Plan if, in its sole discretion, the Committee determines that (A) the tax consequences of such Award to the Company or the Participant differ from those consequences that were expected to occur on the date the Award was granted or (B) clarifications or interpretations of, or changes to, tax law or regulations permit Awards to be granted that have more favorable tax consequences than initially anticipated and (vii) subject to the restrictions imposed by Section VII, to cancel or suspend Awards; provided, however, that, notwithstanding the provisions of this Section 6.2, the Committee shall not have the authority to accelerate vesting of an Award in the event of a Participant's termination of employment other than in connection with the Participant's death or disability.</w:t>
      </w:r>
    </w:p>
    <w:p>
      <w:pPr>
        <w:spacing w:after="0" w:line="180" w:lineRule="exact"/>
        <w:rPr>
          <w:rFonts w:ascii="Arial" w:cs="Arial" w:eastAsia="Arial" w:hAnsi="Arial"/>
          <w:sz w:val="16"/>
          <w:szCs w:val="16"/>
          <w:color w:val="auto"/>
        </w:rPr>
      </w:pPr>
    </w:p>
    <w:p>
      <w:pPr>
        <w:ind w:right="220" w:firstLine="622"/>
        <w:spacing w:after="0" w:line="283" w:lineRule="auto"/>
        <w:tabs>
          <w:tab w:leader="none" w:pos="947"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Committee shall have the authority to adopt such modifications, procedures and subplans as may be necessary or desirable to comply with provisions of the laws of any countries in which the Company or any Subsidiary may operate to ensure the viability of the benefits from Awards granted to Participants employed or providing services in such countries, to meet the requirements of local laws that permit the Plan to operate in a qualified or tax-efficient manner, to comply with applicable foreign laws and to meet the objectives of the Plan; provided, however, that no such action taken pursuant to this Section 6.2(b) shall result in a "material revision" of the Plan under applicable securities exchange governance rules.</w:t>
      </w:r>
    </w:p>
    <w:p>
      <w:pPr>
        <w:spacing w:after="0" w:line="2" w:lineRule="exact"/>
        <w:rPr>
          <w:sz w:val="20"/>
          <w:szCs w:val="20"/>
          <w:color w:val="auto"/>
        </w:rPr>
      </w:pP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22"/>
        <w:spacing w:after="0" w:line="256" w:lineRule="auto"/>
        <w:tabs>
          <w:tab w:leader="none" w:pos="93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Committee will have full and complete authority and discretion to interpret the Plan, to establish, amend, and rescind any rules and regulations relating to the Plan, to determine the terms and provisions of any Award Agreement made pursuant to the Plan, and to make all other determinations that may be necessary or advisable for the administration of the Plan; it being the intention of the Plan that the Committee have the utmost authority and discretion permitted by law in making decisions and performing its other functions under the Plan.</w:t>
      </w:r>
    </w:p>
    <w:p>
      <w:pPr>
        <w:spacing w:after="0" w:line="196" w:lineRule="exact"/>
        <w:rPr>
          <w:rFonts w:ascii="Arial" w:cs="Arial" w:eastAsia="Arial" w:hAnsi="Arial"/>
          <w:sz w:val="18"/>
          <w:szCs w:val="18"/>
          <w:color w:val="auto"/>
        </w:rPr>
      </w:pPr>
    </w:p>
    <w:p>
      <w:pPr>
        <w:ind w:left="940" w:hanging="318"/>
        <w:spacing w:after="0"/>
        <w:tabs>
          <w:tab w:leader="none" w:pos="9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interpretation of the Plan by the Committee and any decision made by it under the Plan is final and binding on all persons.</w:t>
      </w:r>
    </w:p>
    <w:p>
      <w:pPr>
        <w:spacing w:after="0" w:line="225" w:lineRule="exact"/>
        <w:rPr>
          <w:rFonts w:ascii="Arial" w:cs="Arial" w:eastAsia="Arial" w:hAnsi="Arial"/>
          <w:sz w:val="18"/>
          <w:szCs w:val="18"/>
          <w:color w:val="auto"/>
        </w:rPr>
      </w:pPr>
    </w:p>
    <w:p>
      <w:pPr>
        <w:ind w:right="540" w:firstLine="622"/>
        <w:spacing w:after="0" w:line="268" w:lineRule="auto"/>
        <w:tabs>
          <w:tab w:leader="none" w:pos="941"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controlling and managing the operation and administration of the Plan, the Committee shall take action in a manner that conforms to the Articles of Incorporation and By-laws of the Company, and applicable state corporate law.</w:t>
      </w:r>
    </w:p>
    <w:p>
      <w:pPr>
        <w:spacing w:after="0" w:line="186" w:lineRule="exact"/>
        <w:rPr>
          <w:sz w:val="20"/>
          <w:szCs w:val="20"/>
          <w:color w:val="auto"/>
        </w:rPr>
      </w:pPr>
    </w:p>
    <w:p>
      <w:pPr>
        <w:ind w:right="120" w:firstLine="614"/>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No Repricing or Exchange.</w:t>
      </w:r>
      <w:r>
        <w:rPr>
          <w:rFonts w:ascii="Arial" w:cs="Arial" w:eastAsia="Arial" w:hAnsi="Arial"/>
          <w:sz w:val="18"/>
          <w:szCs w:val="18"/>
          <w:color w:val="auto"/>
        </w:rPr>
        <w:t xml:space="preserve"> Notwithstanding the authority set forth in Section 6.2, in no event shall the Committee have the power to cancel outstanding Options or SARs for the purpose of repricing, substituting for another Award, or otherwise replacing or re-granting such Options or SARs with an exercise price that is less than the exercise price of the original Option or SAR, unless such action is approved by the Company's shareholders. For the avoidance of doubt, an adjustment to the Exercise Price made in accordance with Section 4.2(f) or as a result of a substitution pursuant to Section V shall not be considered a re-pricing for purposes of this Section 6.3.</w:t>
      </w:r>
    </w:p>
    <w:p>
      <w:pPr>
        <w:spacing w:after="0" w:line="201"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i w:val="1"/>
          <w:iCs w:val="1"/>
          <w:color w:val="auto"/>
        </w:rPr>
        <w:t>Delegation by the Committee.</w:t>
      </w:r>
    </w:p>
    <w:p>
      <w:pPr>
        <w:spacing w:after="0" w:line="225" w:lineRule="exact"/>
        <w:rPr>
          <w:sz w:val="20"/>
          <w:szCs w:val="20"/>
          <w:color w:val="auto"/>
        </w:rPr>
      </w:pPr>
    </w:p>
    <w:p>
      <w:pPr>
        <w:ind w:right="20" w:firstLine="622"/>
        <w:spacing w:after="0" w:line="253" w:lineRule="auto"/>
        <w:tabs>
          <w:tab w:leader="none" w:pos="941"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Except to the extent prohibited by applicable law or the applicable rules of a securities exchange, the Committee may allocate all or any portion of its responsibilities and powers to any one or more of its members and may delegate all or any part of its responsibilities and powers to any person or persons selected by it, including a subcommittee consisting of one or more members of the Board or officers or employees of the Company to grant Awards to persons who are not "officers" of the Company (within the meaning of Rule 16a-1 under the Exchange Act) or Independent Directors, subject to such restrictions and limitations as the Committee may specify and to the requirements of the Florida Business Corporation Act. The acts of any such delegates shall be treated hereunder as acts of the Committee and such delegates shall report regularly to the Committee regarding the delegated duties and responsibilities and any Awards so granted.</w:t>
      </w:r>
    </w:p>
    <w:p>
      <w:pPr>
        <w:spacing w:after="0" w:line="200" w:lineRule="exact"/>
        <w:rPr>
          <w:rFonts w:ascii="Arial" w:cs="Arial" w:eastAsia="Arial" w:hAnsi="Arial"/>
          <w:sz w:val="18"/>
          <w:szCs w:val="18"/>
          <w:color w:val="auto"/>
        </w:rPr>
      </w:pPr>
    </w:p>
    <w:p>
      <w:pPr>
        <w:ind w:right="100" w:firstLine="622"/>
        <w:spacing w:after="0" w:line="282" w:lineRule="auto"/>
        <w:tabs>
          <w:tab w:leader="none" w:pos="9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Committee may also delegate the administration of the Plan to one or more officers or employees of the Company, and such administrator(s) may have the authority to administer the Plan, including to: (i) execute and distribute Award Agreements, (ii) maintain records relating to Awards, (iii) process or oversee the issuance of Stock under Awards, (iv) interpret and administer the terms of Awards, and (v) take such other actions as may be necessary or appropriate for the administration of the Plan and of Awards under the Plan. In no event shall any such administrator be authorized to (w) grant Awards under the Plan (except in connection with any delegation made by the Committee pursuant to Section 6.4(a), (x) take any action with respect to Awards held by "officers" of the Company (within the meaning of Rule 16a-1 under the Exchange Act) or Independent Directors, (y) take any action inconsistent with Section 409A of the Code, or (z) take any action inconsistent with applicable provisions of the Florida Business Corporation Act. Any action by any such administrator within the scope of its delegation shall be deemed for all purposes to have been taken by the Committee and, except as otherwise specifically provided, references in this Plan to the Committee shall include any such administrator.</w:t>
      </w:r>
    </w:p>
    <w:p>
      <w:pPr>
        <w:spacing w:after="0" w:line="5" w:lineRule="exact"/>
        <w:rPr>
          <w:sz w:val="20"/>
          <w:szCs w:val="20"/>
          <w:color w:val="auto"/>
        </w:rPr>
      </w:pPr>
    </w:p>
    <w:p>
      <w:pPr>
        <w:jc w:val="right"/>
        <w:spacing w:after="0"/>
        <w:tabs>
          <w:tab w:leader="none" w:pos="2320" w:val="left"/>
          <w:tab w:leader="none" w:pos="2060" w:val="left"/>
          <w:tab w:leader="none" w:pos="3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22"/>
        <w:spacing w:after="0" w:line="331" w:lineRule="auto"/>
        <w:tabs>
          <w:tab w:leader="none" w:pos="931"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of the allocations or delegations described in this Section 6.4 may be revoked by the Committee at any time. In the event of any delegations described in this Section 6.4, the term "Committee", as used herein, shall include any persons so delegated to the extent of such delegation.</w:t>
      </w:r>
    </w:p>
    <w:p>
      <w:pPr>
        <w:spacing w:after="0" w:line="141" w:lineRule="exact"/>
        <w:rPr>
          <w:sz w:val="20"/>
          <w:szCs w:val="20"/>
          <w:color w:val="auto"/>
        </w:rPr>
      </w:pPr>
    </w:p>
    <w:p>
      <w:pPr>
        <w:jc w:val="both"/>
        <w:ind w:right="40" w:firstLine="614"/>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Awards to Independent Directors.</w:t>
      </w:r>
      <w:r>
        <w:rPr>
          <w:rFonts w:ascii="Arial" w:cs="Arial" w:eastAsia="Arial" w:hAnsi="Arial"/>
          <w:sz w:val="18"/>
          <w:szCs w:val="18"/>
          <w:color w:val="auto"/>
        </w:rPr>
        <w:t xml:space="preserve"> Notwithstanding anything to the contrary contained herein, the Board may, in its sole discretion, at any time and from time to time, grant Awards to Independent Directors or administer the Plan with respect to such Awards. In any such case, the Board shall have all the authority and responsibility granted to the Committee herein.</w:t>
      </w:r>
    </w:p>
    <w:p>
      <w:pPr>
        <w:spacing w:after="0" w:line="194" w:lineRule="exact"/>
        <w:rPr>
          <w:sz w:val="20"/>
          <w:szCs w:val="20"/>
          <w:color w:val="auto"/>
        </w:rPr>
      </w:pPr>
    </w:p>
    <w:p>
      <w:pPr>
        <w:ind w:right="240" w:firstLine="614"/>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Information to be Furnished to Committee.</w:t>
      </w:r>
      <w:r>
        <w:rPr>
          <w:rFonts w:ascii="Arial" w:cs="Arial" w:eastAsia="Arial" w:hAnsi="Arial"/>
          <w:sz w:val="18"/>
          <w:szCs w:val="18"/>
          <w:color w:val="auto"/>
        </w:rPr>
        <w:t xml:space="preserve"> The Company and Subsidiaries shall furnish the Committee with such data and information as it determines may be required for it to discharge its duties. The records of the Company and Subsidiaries as to an employee's or Participant's employment, termination of employment, leave of absence, reemployment and compensation shall be conclusive on all persons unless determined to be incorrect. Participants and other persons entitled to benefits under the Plan must furnish the Committee such evidence, data or information as the Committee considers desirable to carry out the terms of the Plan.</w:t>
      </w:r>
    </w:p>
    <w:p>
      <w:pPr>
        <w:spacing w:after="0" w:line="201" w:lineRule="exact"/>
        <w:rPr>
          <w:sz w:val="20"/>
          <w:szCs w:val="20"/>
          <w:color w:val="auto"/>
        </w:rPr>
      </w:pPr>
    </w:p>
    <w:p>
      <w:pPr>
        <w:ind w:firstLine="614"/>
        <w:spacing w:after="0" w:line="29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Limitation of Liability.</w:t>
      </w:r>
      <w:r>
        <w:rPr>
          <w:rFonts w:ascii="Arial" w:cs="Arial" w:eastAsia="Arial" w:hAnsi="Arial"/>
          <w:sz w:val="16"/>
          <w:szCs w:val="16"/>
          <w:color w:val="auto"/>
        </w:rPr>
        <w:t xml:space="preserve"> The Committee, each member thereof, and any other person acting pursuant to authority delegated by the Committee shall be entitled, in good faith, to rely or act upon any report or other information furnished by any officer or employee of the Company, the Company's independent auditors, consultants or any other agents assisting in the administration of the Plan. Members of the Committee or any other person acting pursuant to authority delegated by the Committee, and any officer or employee of the Company acting at the direction or on behalf of the Committee or other delegee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74" w:lineRule="exact"/>
        <w:rPr>
          <w:sz w:val="20"/>
          <w:szCs w:val="20"/>
          <w:color w:val="auto"/>
        </w:rPr>
      </w:pPr>
    </w:p>
    <w:p>
      <w:pPr>
        <w:ind w:right="40" w:firstLine="614"/>
        <w:spacing w:after="0" w:line="288"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i w:val="1"/>
          <w:iCs w:val="1"/>
          <w:color w:val="auto"/>
        </w:rPr>
        <w:t>Indemnification.</w:t>
      </w:r>
      <w:r>
        <w:rPr>
          <w:rFonts w:ascii="Arial" w:cs="Arial" w:eastAsia="Arial" w:hAnsi="Arial"/>
          <w:sz w:val="16"/>
          <w:szCs w:val="16"/>
          <w:color w:val="auto"/>
        </w:rPr>
        <w:t xml:space="preserve"> 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78"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5"/>
          <w:szCs w:val="15"/>
          <w:i w:val="1"/>
          <w:iCs w:val="1"/>
          <w:color w:val="auto"/>
        </w:rPr>
        <w:t>Code Section 409A.</w:t>
      </w:r>
    </w:p>
    <w:p>
      <w:pPr>
        <w:spacing w:after="0" w:line="225" w:lineRule="exact"/>
        <w:rPr>
          <w:sz w:val="20"/>
          <w:szCs w:val="20"/>
          <w:color w:val="auto"/>
        </w:rPr>
      </w:pPr>
    </w:p>
    <w:p>
      <w:pPr>
        <w:ind w:right="180" w:firstLine="622"/>
        <w:spacing w:after="0" w:line="331" w:lineRule="auto"/>
        <w:tabs>
          <w:tab w:leader="none" w:pos="941"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140" w:lineRule="exact"/>
        <w:rPr>
          <w:rFonts w:ascii="Arial" w:cs="Arial" w:eastAsia="Arial" w:hAnsi="Arial"/>
          <w:sz w:val="16"/>
          <w:szCs w:val="16"/>
          <w:color w:val="auto"/>
        </w:rPr>
      </w:pPr>
    </w:p>
    <w:p>
      <w:pPr>
        <w:ind w:left="1080" w:right="120" w:firstLine="1017"/>
        <w:spacing w:after="0" w:line="252" w:lineRule="auto"/>
        <w:tabs>
          <w:tab w:leader="none" w:pos="2343" w:val="left"/>
        </w:tabs>
        <w:numPr>
          <w:ilvl w:val="1"/>
          <w:numId w:val="93"/>
        </w:numPr>
        <w:rPr>
          <w:rFonts w:ascii="Arial" w:cs="Arial" w:eastAsia="Arial" w:hAnsi="Arial"/>
          <w:sz w:val="18"/>
          <w:szCs w:val="18"/>
          <w:color w:val="auto"/>
        </w:rPr>
      </w:pPr>
      <w:r>
        <w:rPr>
          <w:rFonts w:ascii="Arial" w:cs="Arial" w:eastAsia="Arial" w:hAnsi="Arial"/>
          <w:sz w:val="18"/>
          <w:szCs w:val="18"/>
          <w:color w:val="auto"/>
        </w:rPr>
        <w:t>Payments under the Section 409A Plan may not be made earlier than (A) the Participant's "separation from service", (B) the date the Participant becomes "disabled", (C) the Participant's death, (D) a "specified time (or pursuant to a fixed schedule)" specified in the Award Agreement at the date of the deferral of such compensation, (E) a "change in the ownership or effective control of the corporation, or in the ownership of a substantial</w:t>
      </w:r>
    </w:p>
    <w:p>
      <w:pPr>
        <w:spacing w:after="0" w:line="1" w:lineRule="exact"/>
        <w:rPr>
          <w:sz w:val="20"/>
          <w:szCs w:val="20"/>
          <w:color w:val="auto"/>
        </w:rPr>
      </w:pP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portion of the assets of the corporation", or (F) the occurrence of an "unforeseeable emergency";</w:t>
      </w:r>
    </w:p>
    <w:p>
      <w:pPr>
        <w:spacing w:after="0" w:line="225" w:lineRule="exact"/>
        <w:rPr>
          <w:sz w:val="20"/>
          <w:szCs w:val="20"/>
          <w:color w:val="auto"/>
        </w:rPr>
      </w:pPr>
    </w:p>
    <w:p>
      <w:pPr>
        <w:ind w:left="1080" w:right="160" w:firstLine="973"/>
        <w:spacing w:after="0" w:line="268" w:lineRule="auto"/>
        <w:tabs>
          <w:tab w:leader="none" w:pos="2344"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85" w:lineRule="exact"/>
        <w:rPr>
          <w:rFonts w:ascii="Arial" w:cs="Arial" w:eastAsia="Arial" w:hAnsi="Arial"/>
          <w:sz w:val="18"/>
          <w:szCs w:val="18"/>
          <w:color w:val="auto"/>
        </w:rPr>
      </w:pPr>
    </w:p>
    <w:p>
      <w:pPr>
        <w:ind w:left="1080" w:right="740" w:firstLine="885"/>
        <w:spacing w:after="0" w:line="268" w:lineRule="auto"/>
        <w:tabs>
          <w:tab w:leader="none" w:pos="2299"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w:t>
      </w:r>
    </w:p>
    <w:p>
      <w:pPr>
        <w:spacing w:after="0" w:line="185" w:lineRule="exact"/>
        <w:rPr>
          <w:rFonts w:ascii="Arial" w:cs="Arial" w:eastAsia="Arial" w:hAnsi="Arial"/>
          <w:sz w:val="18"/>
          <w:szCs w:val="18"/>
          <w:color w:val="auto"/>
        </w:rPr>
      </w:pPr>
    </w:p>
    <w:p>
      <w:pPr>
        <w:ind w:left="1080" w:right="80" w:firstLine="929"/>
        <w:spacing w:after="0" w:line="259" w:lineRule="auto"/>
        <w:tabs>
          <w:tab w:leader="none" w:pos="2343"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 the case of any Participant who is a "specified employee", a distribution on account of a "separation from service" may not be made before the date which is six months after the date of the Participant's "separation from service" (or, if earlier, the date of the Participant's death); and</w:t>
      </w:r>
    </w:p>
    <w:p>
      <w:pPr>
        <w:spacing w:after="0" w:line="193" w:lineRule="exact"/>
        <w:rPr>
          <w:rFonts w:ascii="Arial" w:cs="Arial" w:eastAsia="Arial" w:hAnsi="Arial"/>
          <w:sz w:val="18"/>
          <w:szCs w:val="18"/>
          <w:color w:val="auto"/>
        </w:rPr>
      </w:pPr>
    </w:p>
    <w:p>
      <w:pPr>
        <w:ind w:left="1080" w:right="100" w:firstLine="973"/>
        <w:spacing w:after="0" w:line="256" w:lineRule="auto"/>
        <w:tabs>
          <w:tab w:leader="none" w:pos="2338"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 the case of any such Awards that are payable upon a Change of Control, notwithstanding any provision of the Plan to the contrary, the Company will not be deemed to have undergone a Change of Control unless the Company has undergone a "change in the ownership or effective control of the corporation, or in the ownership of a substantial portion of the assets of a corporation" within the meaning of Section 409A(a)(2)(A)(v) of the Code.</w:t>
      </w:r>
    </w:p>
    <w:p>
      <w:pPr>
        <w:spacing w:after="0" w:line="197" w:lineRule="exact"/>
        <w:rPr>
          <w:sz w:val="20"/>
          <w:szCs w:val="20"/>
          <w:color w:val="auto"/>
        </w:rPr>
      </w:pPr>
    </w:p>
    <w:p>
      <w:pPr>
        <w:ind w:left="2160" w:right="240"/>
        <w:spacing w:after="0" w:line="256" w:lineRule="auto"/>
        <w:rPr>
          <w:sz w:val="20"/>
          <w:szCs w:val="20"/>
          <w:color w:val="auto"/>
        </w:rPr>
      </w:pPr>
      <w:r>
        <w:rPr>
          <w:rFonts w:ascii="Arial" w:cs="Arial" w:eastAsia="Arial" w:hAnsi="Arial"/>
          <w:sz w:val="18"/>
          <w:szCs w:val="18"/>
          <w:color w:val="auto"/>
        </w:rPr>
        <w:t>For purposes of the foregoing, the words and phrases in quotations in this Section 6.9 shall be defined in the same manner as those words and phrases are defined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97" w:lineRule="exact"/>
        <w:rPr>
          <w:sz w:val="20"/>
          <w:szCs w:val="20"/>
          <w:color w:val="auto"/>
        </w:rPr>
      </w:pPr>
    </w:p>
    <w:p>
      <w:pPr>
        <w:jc w:val="both"/>
        <w:ind w:right="40" w:firstLine="622"/>
        <w:spacing w:after="0" w:line="291" w:lineRule="auto"/>
        <w:tabs>
          <w:tab w:leader="none" w:pos="941"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 Further, in the event that the Plan, any Award Agreement or any Award shall be deemed not to comply with Section 409A of the Code, then neither the Company, the Committee nor its or their designees or agents shall be liable to any Participant or other person for actions, decisions or determinations made in good faith.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AMENDMENT AND TERMINATION</w:t>
      </w:r>
    </w:p>
    <w:p>
      <w:pPr>
        <w:spacing w:after="0" w:line="219" w:lineRule="exact"/>
        <w:rPr>
          <w:sz w:val="20"/>
          <w:szCs w:val="20"/>
          <w:color w:val="auto"/>
        </w:rPr>
      </w:pPr>
    </w:p>
    <w:p>
      <w:pPr>
        <w:ind w:right="20" w:firstLine="611"/>
        <w:spacing w:after="0" w:line="282" w:lineRule="auto"/>
        <w:rPr>
          <w:sz w:val="20"/>
          <w:szCs w:val="20"/>
          <w:color w:val="auto"/>
        </w:rPr>
      </w:pPr>
      <w:r>
        <w:rPr>
          <w:rFonts w:ascii="Arial" w:cs="Arial" w:eastAsia="Arial" w:hAnsi="Arial"/>
          <w:sz w:val="16"/>
          <w:szCs w:val="16"/>
          <w:color w:val="auto"/>
        </w:rPr>
        <w:t>The Board may, at any time, amend or terminate the Plan, and the Board or Committee may, at any time, amend any Award outstanding thereunder,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Plan prior to the date such amendment is adopted by the Board; and further provided that any amendment made to comply with applicable law, tax rules, securities exchange rules or accounting rules and adjustments pursuant to Section 4.2(f) shall not be subject to the foregoing limitations of this Section VII. Notwithstanding the foregoing, approval of the Company's shareholders shall be required for any amendment or alteration of the Plan if such shareholder approval is required by any federal or state law or regulation (including without limitation, Rule 16b-3</w:t>
      </w:r>
    </w:p>
    <w:p>
      <w:pPr>
        <w:spacing w:after="0" w:line="5" w:lineRule="exact"/>
        <w:rPr>
          <w:sz w:val="20"/>
          <w:szCs w:val="20"/>
          <w:color w:val="auto"/>
        </w:rPr>
      </w:pP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under the Exchange Act or the rules of any securities exchange or automated quotation system on which the shares of Stock may then be listed or quoted).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determined by the Committee, any amendments to the Plan will apply prospectively only.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VIII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GENERAL PROVISIONS</w:t>
      </w:r>
    </w:p>
    <w:p>
      <w:pPr>
        <w:spacing w:after="0" w:line="219" w:lineRule="exact"/>
        <w:rPr>
          <w:sz w:val="20"/>
          <w:szCs w:val="20"/>
          <w:color w:val="auto"/>
        </w:rPr>
      </w:pPr>
    </w:p>
    <w:p>
      <w:pPr>
        <w:ind w:right="20" w:firstLine="614"/>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Tax Withholding.</w:t>
      </w:r>
      <w:r>
        <w:rPr>
          <w:rFonts w:ascii="Arial" w:cs="Arial" w:eastAsia="Arial" w:hAnsi="Arial"/>
          <w:sz w:val="18"/>
          <w:szCs w:val="18"/>
          <w:color w:val="auto"/>
        </w:rPr>
        <w:t xml:space="preserve"> All distributions under the Plan are subject to withholding of all applicable taxes, and the Committee may condition the delivery of any shares or other benefits under the Plan on satisfaction of the applicable withholding obligations. The Committee, in its discretion, and subject to such requirements as the Committee may impose prior to the occurrence of such withholding, may permit such withholding obligations to be satisfied through cash payment by the Participant, through the surrender of shares of Stock which the Participant already owns, through the withholding of shares of Stock that otherwise would have been delivered pursuant to the Award, or through the surrender of shares of Stock to which the Participant is otherwise entitled under the Plan.</w:t>
      </w:r>
    </w:p>
    <w:p>
      <w:pPr>
        <w:spacing w:after="0" w:line="198"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i w:val="1"/>
          <w:iCs w:val="1"/>
          <w:color w:val="auto"/>
        </w:rPr>
        <w:t>Limitation of Implied Rights.</w:t>
      </w:r>
    </w:p>
    <w:p>
      <w:pPr>
        <w:spacing w:after="0" w:line="225" w:lineRule="exact"/>
        <w:rPr>
          <w:sz w:val="20"/>
          <w:szCs w:val="20"/>
          <w:color w:val="auto"/>
        </w:rPr>
      </w:pPr>
    </w:p>
    <w:p>
      <w:pPr>
        <w:ind w:right="80" w:firstLine="622"/>
        <w:spacing w:after="0" w:line="294" w:lineRule="auto"/>
        <w:tabs>
          <w:tab w:leader="none" w:pos="941" w:val="left"/>
        </w:tabs>
        <w:numPr>
          <w:ilvl w:val="0"/>
          <w:numId w:val="97"/>
        </w:numPr>
        <w:rPr>
          <w:rFonts w:ascii="Arial" w:cs="Arial" w:eastAsia="Arial" w:hAnsi="Arial"/>
          <w:sz w:val="16"/>
          <w:szCs w:val="16"/>
          <w:color w:val="auto"/>
        </w:rPr>
      </w:pPr>
      <w:r>
        <w:rPr>
          <w:rFonts w:ascii="Arial" w:cs="Arial" w:eastAsia="Arial" w:hAnsi="Arial"/>
          <w:sz w:val="16"/>
          <w:szCs w:val="16"/>
          <w:color w:val="auto"/>
        </w:rPr>
        <w:t>Neither a Participant nor any other person shall, by reason of participation in the Plan, acquire any right in or title to any assets, funds or property of the Company or any Subsidiary whatsoever, including, without limitation, any specific funds, assets, or other property which the Company or any Subsidiary, in its sole discretion, may set aside in anticipation of a liability under the Plan. A Participant shall have only a contractual right to the Stock or amounts, if any, payable under the Plan, unsecured by any assets of the Company or any Subsidiary, and nothing contained in the Plan shall constitute a guarantee that the assets of the Company or any Subsidiary shall be sufficient to pay any benefits to any person.</w:t>
      </w:r>
    </w:p>
    <w:p>
      <w:pPr>
        <w:spacing w:after="0" w:line="169" w:lineRule="exact"/>
        <w:rPr>
          <w:rFonts w:ascii="Arial" w:cs="Arial" w:eastAsia="Arial" w:hAnsi="Arial"/>
          <w:sz w:val="16"/>
          <w:szCs w:val="16"/>
          <w:color w:val="auto"/>
        </w:rPr>
      </w:pPr>
    </w:p>
    <w:p>
      <w:pPr>
        <w:ind w:right="160" w:firstLine="622"/>
        <w:spacing w:after="0" w:line="298" w:lineRule="auto"/>
        <w:tabs>
          <w:tab w:leader="none" w:pos="9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Plan does not constitute a contract of employment, and selection as a Participant will not give such Participant the right to be retained in the employ or service of the Company or any Subsidiary, nor any right or claim to any benefit under the Plan, unless such right or claim has specifically accrued under the terms of the Plan. Except as otherwise provided in the Plan or any Award Agreement, no Award under the Plan shall confer upon the holder thereof any rights as a shareholder of the Company prior to the date on which the individual fulfills all conditions for receipt of such rights.</w:t>
      </w:r>
    </w:p>
    <w:p>
      <w:pPr>
        <w:spacing w:after="0" w:line="166" w:lineRule="exact"/>
        <w:rPr>
          <w:sz w:val="20"/>
          <w:szCs w:val="20"/>
          <w:color w:val="auto"/>
        </w:rPr>
      </w:pPr>
    </w:p>
    <w:p>
      <w:pPr>
        <w:ind w:right="180" w:firstLine="614"/>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No Fractional Shares.</w:t>
      </w:r>
      <w:r>
        <w:rPr>
          <w:rFonts w:ascii="Arial" w:cs="Arial" w:eastAsia="Arial" w:hAnsi="Arial"/>
          <w:sz w:val="18"/>
          <w:szCs w:val="18"/>
          <w:color w:val="auto"/>
        </w:rPr>
        <w:t xml:space="preserve"> No fractional shares of Stock shall be issued or delivered pursuant to the Plan or any Award. The Committee shall determine whether cash, an additional share of Stock or Award, or other property shall be issued or paid in lieu of fractional shares or whether such fractional shares or any rights thereto shall be forfeited or otherwise eliminated.</w:t>
      </w:r>
    </w:p>
    <w:p>
      <w:pPr>
        <w:spacing w:after="0" w:line="194" w:lineRule="exact"/>
        <w:rPr>
          <w:sz w:val="20"/>
          <w:szCs w:val="20"/>
          <w:color w:val="auto"/>
        </w:rPr>
      </w:pPr>
    </w:p>
    <w:p>
      <w:pPr>
        <w:jc w:val="both"/>
        <w:ind w:right="240" w:firstLine="614"/>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The Plan and all Award Agreements shall be governed by and construed in accordance with the laws of the State of Florida, without giving effect to any choice of law or conflict of law provision or rule (whether of the State of Florida or any other jurisdiction) that would cause the application of the laws of any jurisdiction other than the State of Florida.</w:t>
      </w:r>
    </w:p>
    <w:p>
      <w:pPr>
        <w:spacing w:after="0" w:line="194" w:lineRule="exact"/>
        <w:rPr>
          <w:sz w:val="20"/>
          <w:szCs w:val="20"/>
          <w:color w:val="auto"/>
        </w:rPr>
      </w:pPr>
    </w:p>
    <w:p>
      <w:pPr>
        <w:ind w:firstLine="614"/>
        <w:spacing w:after="0" w:line="284"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 w:lineRule="exact"/>
        <w:rPr>
          <w:sz w:val="20"/>
          <w:szCs w:val="20"/>
          <w:color w:val="auto"/>
        </w:rPr>
      </w:pP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14"/>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color w:val="auto"/>
        </w:rPr>
        <w:t>Successors.</w:t>
      </w:r>
      <w:r>
        <w:rPr>
          <w:rFonts w:ascii="Arial" w:cs="Arial" w:eastAsia="Arial" w:hAnsi="Arial"/>
          <w:sz w:val="18"/>
          <w:szCs w:val="18"/>
          <w:color w:val="auto"/>
        </w:rPr>
        <w:t xml:space="preserve"> All of the obligations of the Company under the Plan and any Award Agreement shall be binding upon any successor corporation or organization resulting from the merger, amalgamation, consolidation or other reorganization of the Company, or upon any successor corporation or organization succeeding to substantially all of the assets and business of the Company.</w:t>
      </w:r>
    </w:p>
    <w:p>
      <w:pPr>
        <w:spacing w:after="0" w:line="194" w:lineRule="exact"/>
        <w:rPr>
          <w:sz w:val="20"/>
          <w:szCs w:val="20"/>
          <w:color w:val="auto"/>
        </w:rPr>
      </w:pPr>
    </w:p>
    <w:p>
      <w:pPr>
        <w:jc w:val="both"/>
        <w:ind w:right="60" w:firstLine="614"/>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i w:val="1"/>
          <w:iCs w:val="1"/>
          <w:color w:val="auto"/>
        </w:rPr>
        <w:t>Gender and Number, Titles and Headings.</w:t>
      </w:r>
      <w:r>
        <w:rPr>
          <w:rFonts w:ascii="Arial" w:cs="Arial" w:eastAsia="Arial" w:hAnsi="Arial"/>
          <w:sz w:val="18"/>
          <w:szCs w:val="18"/>
          <w:color w:val="auto"/>
        </w:rPr>
        <w:t xml:space="preserve"> Where the context admits, words in any gender shall include any other gender, words in the singular shall include the plural and the plural shall include the singular. The titles and headings of the sections in the Plan are for convenience of reference only, and in the event of any conflict, the text of the Plan, rather than such titles or headings shall control.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IX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DEFINED TERMS</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to the other definitions contained herein, the following definitions shall apply:</w:t>
      </w:r>
    </w:p>
    <w:p>
      <w:pPr>
        <w:spacing w:after="0" w:line="225" w:lineRule="exact"/>
        <w:rPr>
          <w:sz w:val="20"/>
          <w:szCs w:val="20"/>
          <w:color w:val="auto"/>
        </w:rPr>
      </w:pPr>
    </w:p>
    <w:p>
      <w:pPr>
        <w:ind w:right="320" w:firstLine="622"/>
        <w:spacing w:after="0" w:line="331" w:lineRule="auto"/>
        <w:tabs>
          <w:tab w:leader="none" w:pos="981"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Affiliate. </w:t>
      </w:r>
      <w:r>
        <w:rPr>
          <w:rFonts w:ascii="Arial" w:cs="Arial" w:eastAsia="Arial" w:hAnsi="Arial"/>
          <w:sz w:val="16"/>
          <w:szCs w:val="16"/>
          <w:color w:val="auto"/>
        </w:rPr>
        <w:t>The term "Affiliate" means (i) any entity that, directly or indirectly, is controlled by, controls or is under common control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and/or (ii) any entity in which the Company has a significant equity interest, in either case as determined by the Committee.</w:t>
      </w:r>
    </w:p>
    <w:p>
      <w:pPr>
        <w:spacing w:after="0" w:line="140" w:lineRule="exact"/>
        <w:rPr>
          <w:rFonts w:ascii="Arial" w:cs="Arial" w:eastAsia="Arial" w:hAnsi="Arial"/>
          <w:sz w:val="16"/>
          <w:szCs w:val="16"/>
          <w:color w:val="auto"/>
        </w:rPr>
      </w:pPr>
    </w:p>
    <w:p>
      <w:pPr>
        <w:ind w:right="100" w:firstLine="622"/>
        <w:spacing w:after="0" w:line="259" w:lineRule="auto"/>
        <w:tabs>
          <w:tab w:leader="none" w:pos="991"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The term "Award" means any award or benefit granted under the Plan, including, without limitation, the grant of Options, SARs,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 Awards, Performance Compensation Awards, Restricted Stock Awards, Restricted Stock Unit Awards, Other Stock-Based Awards and Cash Incentive Awards.</w:t>
      </w:r>
    </w:p>
    <w:p>
      <w:pPr>
        <w:spacing w:after="0" w:line="193" w:lineRule="exact"/>
        <w:rPr>
          <w:rFonts w:ascii="Arial" w:cs="Arial" w:eastAsia="Arial" w:hAnsi="Arial"/>
          <w:sz w:val="18"/>
          <w:szCs w:val="18"/>
          <w:color w:val="auto"/>
        </w:rPr>
      </w:pPr>
    </w:p>
    <w:p>
      <w:pPr>
        <w:ind w:right="420" w:firstLine="622"/>
        <w:spacing w:after="0" w:line="331" w:lineRule="auto"/>
        <w:tabs>
          <w:tab w:leader="none" w:pos="981"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Award Agreement. </w:t>
      </w:r>
      <w:r>
        <w:rPr>
          <w:rFonts w:ascii="Arial" w:cs="Arial" w:eastAsia="Arial" w:hAnsi="Arial"/>
          <w:sz w:val="16"/>
          <w:szCs w:val="16"/>
          <w:color w:val="auto"/>
        </w:rPr>
        <w:t>The term "Award Agreement" means the written agreement, in a form determined by the Committee from time to time,</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Company and a Participant that evidences the grant of an Award and sets out the terms and conditions of an Award or Prior Plan Award.</w:t>
      </w:r>
    </w:p>
    <w:p>
      <w:pPr>
        <w:spacing w:after="0" w:line="140" w:lineRule="exact"/>
        <w:rPr>
          <w:rFonts w:ascii="Arial" w:cs="Arial" w:eastAsia="Arial" w:hAnsi="Arial"/>
          <w:sz w:val="16"/>
          <w:szCs w:val="16"/>
          <w:color w:val="auto"/>
        </w:rPr>
      </w:pPr>
    </w:p>
    <w:p>
      <w:pPr>
        <w:ind w:left="1000" w:hanging="378"/>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The term "Board" shall have the meaning set forth in Section 1.2.</w:t>
      </w:r>
    </w:p>
    <w:p>
      <w:pPr>
        <w:spacing w:after="0" w:line="225" w:lineRule="exact"/>
        <w:rPr>
          <w:rFonts w:ascii="Arial" w:cs="Arial" w:eastAsia="Arial" w:hAnsi="Arial"/>
          <w:sz w:val="18"/>
          <w:szCs w:val="18"/>
          <w:color w:val="auto"/>
        </w:rPr>
      </w:pPr>
    </w:p>
    <w:p>
      <w:pPr>
        <w:ind w:left="1000" w:hanging="378"/>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Cash Incentive Award.  </w:t>
      </w:r>
      <w:r>
        <w:rPr>
          <w:rFonts w:ascii="Arial" w:cs="Arial" w:eastAsia="Arial" w:hAnsi="Arial"/>
          <w:sz w:val="18"/>
          <w:szCs w:val="18"/>
          <w:color w:val="auto"/>
        </w:rPr>
        <w:t>The term "Cash Incentive Award" shall have the meaning set forth in Section 3.1(a).</w:t>
      </w:r>
    </w:p>
    <w:p>
      <w:pPr>
        <w:spacing w:after="0" w:line="225" w:lineRule="exact"/>
        <w:rPr>
          <w:rFonts w:ascii="Arial" w:cs="Arial" w:eastAsia="Arial" w:hAnsi="Arial"/>
          <w:sz w:val="18"/>
          <w:szCs w:val="18"/>
          <w:color w:val="auto"/>
        </w:rPr>
      </w:pPr>
    </w:p>
    <w:p>
      <w:pPr>
        <w:ind w:right="220" w:firstLine="622"/>
        <w:spacing w:after="0" w:line="331" w:lineRule="auto"/>
        <w:tabs>
          <w:tab w:leader="none" w:pos="965"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The term "Cause" (i) shall have the meaning set forth in an Award Agreement or in an individual employment agreement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and the Company, if any or (ii) if there is no definition set forth in an Award Agreement or applicable employment agreement, means:</w:t>
      </w:r>
    </w:p>
    <w:p>
      <w:pPr>
        <w:spacing w:after="0" w:line="141" w:lineRule="exact"/>
        <w:rPr>
          <w:sz w:val="20"/>
          <w:szCs w:val="20"/>
          <w:color w:val="auto"/>
        </w:rPr>
      </w:pPr>
    </w:p>
    <w:p>
      <w:pPr>
        <w:ind w:right="100" w:firstLine="622"/>
        <w:spacing w:after="0" w:line="268" w:lineRule="auto"/>
        <w:tabs>
          <w:tab w:leader="none" w:pos="94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material failure by the Participant to perform, in a reasonable manner, his or her duties as assigned by the Company or any Subsidiary (or any successor company);</w:t>
      </w:r>
    </w:p>
    <w:p>
      <w:pPr>
        <w:spacing w:after="0" w:line="185" w:lineRule="exact"/>
        <w:rPr>
          <w:rFonts w:ascii="Arial" w:cs="Arial" w:eastAsia="Arial" w:hAnsi="Arial"/>
          <w:sz w:val="18"/>
          <w:szCs w:val="18"/>
          <w:color w:val="auto"/>
        </w:rPr>
      </w:pPr>
    </w:p>
    <w:p>
      <w:pPr>
        <w:ind w:right="220" w:firstLine="622"/>
        <w:spacing w:after="0" w:line="268" w:lineRule="auto"/>
        <w:tabs>
          <w:tab w:leader="none" w:pos="9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material violation or material breach by the Participant of his or her employment agreement, consulting or other similar agreement with the Company or any Subsidiary (or successor company), if any;</w:t>
      </w:r>
    </w:p>
    <w:p>
      <w:pPr>
        <w:spacing w:after="0" w:line="185" w:lineRule="exact"/>
        <w:rPr>
          <w:rFonts w:ascii="Arial" w:cs="Arial" w:eastAsia="Arial" w:hAnsi="Arial"/>
          <w:sz w:val="18"/>
          <w:szCs w:val="18"/>
          <w:color w:val="auto"/>
        </w:rPr>
      </w:pPr>
    </w:p>
    <w:p>
      <w:pPr>
        <w:ind w:right="720" w:firstLine="622"/>
        <w:spacing w:after="0" w:line="268" w:lineRule="auto"/>
        <w:tabs>
          <w:tab w:leader="none" w:pos="9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material violation or material breach by the Participant of any non-competition, non-solicitation, non-disclosure and/or other similar agreement with the Company or any Subsidiary (or successor company);</w:t>
      </w:r>
    </w:p>
    <w:p>
      <w:pPr>
        <w:spacing w:after="0" w:line="185" w:lineRule="exact"/>
        <w:rPr>
          <w:rFonts w:ascii="Arial" w:cs="Arial" w:eastAsia="Arial" w:hAnsi="Arial"/>
          <w:sz w:val="18"/>
          <w:szCs w:val="18"/>
          <w:color w:val="auto"/>
        </w:rPr>
      </w:pPr>
    </w:p>
    <w:p>
      <w:pPr>
        <w:ind w:left="960" w:hanging="338"/>
        <w:spacing w:after="0"/>
        <w:tabs>
          <w:tab w:leader="none" w:pos="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material violation or material breach by the Participant of the Company's Code of Conduct or any other Company (or successor company)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policy;</w:t>
      </w:r>
    </w:p>
    <w:p>
      <w:pPr>
        <w:spacing w:after="0" w:line="9" w:lineRule="exact"/>
        <w:rPr>
          <w:sz w:val="20"/>
          <w:szCs w:val="20"/>
          <w:color w:val="auto"/>
        </w:rPr>
      </w:pP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22"/>
        <w:spacing w:after="0" w:line="268" w:lineRule="auto"/>
        <w:tabs>
          <w:tab w:leader="none" w:pos="92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act by the Participant of material dishonesty or fraud that injures the reputation or business of the Company or any Subsidiary (or successor company); or</w:t>
      </w:r>
    </w:p>
    <w:p>
      <w:pPr>
        <w:spacing w:after="0" w:line="185" w:lineRule="exact"/>
        <w:rPr>
          <w:rFonts w:ascii="Arial" w:cs="Arial" w:eastAsia="Arial" w:hAnsi="Arial"/>
          <w:sz w:val="18"/>
          <w:szCs w:val="18"/>
          <w:color w:val="auto"/>
        </w:rPr>
      </w:pPr>
    </w:p>
    <w:p>
      <w:pPr>
        <w:ind w:left="920" w:hanging="298"/>
        <w:spacing w:after="0"/>
        <w:tabs>
          <w:tab w:leader="none" w:pos="9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conviction of or entry of a plea of guilty or nolo contender to a felony or a crime involving moral turpitude.</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good faith determination by the Committee of whether the Participant's employment or service was terminated for "Cause" shall be final and binding for all purposes hereunder.</w:t>
      </w:r>
    </w:p>
    <w:p>
      <w:pPr>
        <w:spacing w:after="0" w:line="186" w:lineRule="exact"/>
        <w:rPr>
          <w:sz w:val="20"/>
          <w:szCs w:val="20"/>
          <w:color w:val="auto"/>
        </w:rPr>
      </w:pPr>
    </w:p>
    <w:p>
      <w:pPr>
        <w:ind w:left="1000" w:hanging="378"/>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For purposes of this Plan, a "Change of Control" means any one of the following events:</w:t>
      </w:r>
    </w:p>
    <w:p>
      <w:pPr>
        <w:spacing w:after="0" w:line="225" w:lineRule="exact"/>
        <w:rPr>
          <w:rFonts w:ascii="Arial" w:cs="Arial" w:eastAsia="Arial" w:hAnsi="Arial"/>
          <w:sz w:val="18"/>
          <w:szCs w:val="18"/>
          <w:color w:val="auto"/>
        </w:rPr>
      </w:pPr>
    </w:p>
    <w:p>
      <w:pPr>
        <w:ind w:left="1080" w:right="160" w:firstLine="1017"/>
        <w:spacing w:after="0" w:line="254" w:lineRule="auto"/>
        <w:tabs>
          <w:tab w:leader="none" w:pos="234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person or "group" as defined in Section 13(d)(3) of the Exchange Act, but excluding any employee benefit plan or plans of the Company and its Subsidiaries, becomes the beneficial owner, directly or indirectly, of thirty percent (30%) or more of the combined voting power of the Company's outstanding voting securities ordinarily having the right to vote for the election of directors of the Company; provided, however, that, for purposes of this subparagraph (i), any acquisition directly from the Company shall not constitute a Change of Control; or</w:t>
      </w:r>
    </w:p>
    <w:p>
      <w:pPr>
        <w:spacing w:after="0" w:line="200" w:lineRule="exact"/>
        <w:rPr>
          <w:rFonts w:ascii="Arial" w:cs="Arial" w:eastAsia="Arial" w:hAnsi="Arial"/>
          <w:sz w:val="18"/>
          <w:szCs w:val="18"/>
          <w:color w:val="auto"/>
        </w:rPr>
      </w:pPr>
    </w:p>
    <w:p>
      <w:pPr>
        <w:ind w:left="1080" w:right="40" w:firstLine="973"/>
        <w:spacing w:after="0" w:line="256" w:lineRule="auto"/>
        <w:tabs>
          <w:tab w:leader="none" w:pos="234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consummation of 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fifty-one percent (51%) of the aggregate voting power of the capital stock of the surviving entity; or</w:t>
      </w:r>
    </w:p>
    <w:p>
      <w:pPr>
        <w:spacing w:after="0" w:line="197" w:lineRule="exact"/>
        <w:rPr>
          <w:sz w:val="20"/>
          <w:szCs w:val="20"/>
          <w:color w:val="auto"/>
        </w:rPr>
      </w:pPr>
    </w:p>
    <w:p>
      <w:pPr>
        <w:ind w:left="1080" w:right="120" w:firstLine="885"/>
        <w:spacing w:after="0" w:line="241" w:lineRule="auto"/>
        <w:tabs>
          <w:tab w:leader="none" w:pos="230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individuals who, as of the Effective Date, constitute the Board of Directors of the Company (the "Board" generally and as of the Effective Date the "Incumbent Board") cease for any reason to constitute at least two-thirds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Board, or in the case of the</w:t>
      </w:r>
    </w:p>
    <w:p>
      <w:pPr>
        <w:spacing w:after="0" w:line="1" w:lineRule="exact"/>
        <w:rPr>
          <w:sz w:val="20"/>
          <w:szCs w:val="20"/>
          <w:color w:val="auto"/>
        </w:rPr>
      </w:pPr>
    </w:p>
    <w:p>
      <w:pPr>
        <w:ind w:left="1080" w:right="220"/>
        <w:spacing w:after="0" w:line="231" w:lineRule="auto"/>
        <w:rPr>
          <w:sz w:val="20"/>
          <w:szCs w:val="20"/>
          <w:color w:val="auto"/>
        </w:rPr>
      </w:pPr>
      <w:r>
        <w:rPr>
          <w:rFonts w:ascii="Arial" w:cs="Arial" w:eastAsia="Arial" w:hAnsi="Arial"/>
          <w:sz w:val="16"/>
          <w:szCs w:val="16"/>
          <w:color w:val="auto"/>
        </w:rPr>
        <w:t>consummation of a merger or consolidation of the Company, do not constitute or cease to constitute at least two-thirds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board of directors of the surviving company (or in a case where the surviving corporation is controlled, directly or indirectly by another corporation or</w:t>
      </w:r>
    </w:p>
    <w:p>
      <w:pPr>
        <w:spacing w:after="0" w:line="1" w:lineRule="exact"/>
        <w:rPr>
          <w:sz w:val="20"/>
          <w:szCs w:val="20"/>
          <w:color w:val="auto"/>
        </w:rPr>
      </w:pPr>
    </w:p>
    <w:p>
      <w:pPr>
        <w:ind w:left="1080" w:right="120"/>
        <w:spacing w:after="0" w:line="225" w:lineRule="auto"/>
        <w:rPr>
          <w:sz w:val="20"/>
          <w:szCs w:val="20"/>
          <w:color w:val="auto"/>
        </w:rPr>
      </w:pPr>
      <w:r>
        <w:rPr>
          <w:rFonts w:ascii="Arial" w:cs="Arial" w:eastAsia="Arial" w:hAnsi="Arial"/>
          <w:sz w:val="15"/>
          <w:szCs w:val="15"/>
          <w:color w:val="auto"/>
        </w:rPr>
        <w:t>entity, do not constitute or cease to constitute at least two-thirds (</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board of such controlling corporation or do not have or cease to have at least two-thirds (</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voting seats on any body comparable to a board of directors of such controlling entity, or if there is no body</w:t>
      </w:r>
    </w:p>
    <w:p>
      <w:pPr>
        <w:spacing w:after="0" w:line="2" w:lineRule="exact"/>
        <w:rPr>
          <w:sz w:val="20"/>
          <w:szCs w:val="20"/>
          <w:color w:val="auto"/>
        </w:rPr>
      </w:pPr>
    </w:p>
    <w:p>
      <w:pPr>
        <w:ind w:left="1080" w:right="100"/>
        <w:spacing w:after="0" w:line="245" w:lineRule="auto"/>
        <w:rPr>
          <w:sz w:val="20"/>
          <w:szCs w:val="20"/>
          <w:color w:val="auto"/>
        </w:rPr>
      </w:pPr>
      <w:r>
        <w:rPr>
          <w:rFonts w:ascii="Arial" w:cs="Arial" w:eastAsia="Arial" w:hAnsi="Arial"/>
          <w:sz w:val="16"/>
          <w:szCs w:val="16"/>
          <w:color w:val="auto"/>
        </w:rPr>
        <w:t>comparable to a board of directors, at least two-thirds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voting control of such controlling entity); provided that any person becoming a director (or, in the case of a controlling non-corporate entity, obtaining a position comparable to a director or obtaining a voting interest in such entity) subsequent to the Effective Date whose election, or nomination for election, was approved by a vote of the persons comprising at least</w:t>
      </w:r>
    </w:p>
    <w:p>
      <w:pPr>
        <w:spacing w:after="0" w:line="1" w:lineRule="exact"/>
        <w:rPr>
          <w:sz w:val="20"/>
          <w:szCs w:val="20"/>
          <w:color w:val="auto"/>
        </w:rPr>
      </w:pPr>
    </w:p>
    <w:p>
      <w:pPr>
        <w:ind w:left="1080" w:right="340"/>
        <w:spacing w:after="0" w:line="221" w:lineRule="auto"/>
        <w:rPr>
          <w:sz w:val="20"/>
          <w:szCs w:val="20"/>
          <w:color w:val="auto"/>
        </w:rPr>
      </w:pPr>
      <w:r>
        <w:rPr>
          <w:rFonts w:ascii="Arial" w:cs="Arial" w:eastAsia="Arial" w:hAnsi="Arial"/>
          <w:sz w:val="18"/>
          <w:szCs w:val="18"/>
          <w:color w:val="auto"/>
        </w:rPr>
        <w:t>two-thirds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Incumbent Board (other than an election or nomination of an individual whose initial assumption of office is in connection with an actual or threatened election contest), shall be, for purposes of this Agreement, considered as though such person were a member of the Incumbent Board; or</w:t>
      </w:r>
    </w:p>
    <w:p>
      <w:pPr>
        <w:spacing w:after="0" w:line="210"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(iv) there is a liquidation or dissolution of the Company or all or substantially all of the assets of the Company have been sold.</w:t>
      </w:r>
    </w:p>
    <w:p>
      <w:pPr>
        <w:spacing w:after="0" w:line="248" w:lineRule="exact"/>
        <w:rPr>
          <w:sz w:val="20"/>
          <w:szCs w:val="20"/>
          <w:color w:val="auto"/>
        </w:rPr>
      </w:pPr>
    </w:p>
    <w:p>
      <w:pPr>
        <w:ind w:right="520" w:firstLine="611"/>
        <w:spacing w:after="0" w:line="254" w:lineRule="auto"/>
        <w:rPr>
          <w:sz w:val="20"/>
          <w:szCs w:val="20"/>
          <w:color w:val="auto"/>
        </w:rPr>
      </w:pPr>
      <w:r>
        <w:rPr>
          <w:rFonts w:ascii="Arial" w:cs="Arial" w:eastAsia="Arial" w:hAnsi="Arial"/>
          <w:sz w:val="18"/>
          <w:szCs w:val="18"/>
          <w:color w:val="auto"/>
        </w:rPr>
        <w:t>The term "Change of Control" shall not include a sale of assets, merger or other transaction effected exclusively for the purpose of changing the domicile of the Company.</w:t>
      </w: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622"/>
        <w:spacing w:after="0" w:line="268" w:lineRule="auto"/>
        <w:tabs>
          <w:tab w:leader="none" w:pos="994"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The term "Code" means the Internal Revenue Code of 1986, as amended. A reference to any provision of the Code shall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to any successor provision of the Code.</w:t>
      </w:r>
    </w:p>
    <w:p>
      <w:pPr>
        <w:spacing w:after="0" w:line="185" w:lineRule="exact"/>
        <w:rPr>
          <w:rFonts w:ascii="Arial" w:cs="Arial" w:eastAsia="Arial" w:hAnsi="Arial"/>
          <w:sz w:val="18"/>
          <w:szCs w:val="18"/>
          <w:color w:val="auto"/>
        </w:rPr>
      </w:pPr>
    </w:p>
    <w:p>
      <w:pPr>
        <w:ind w:left="960" w:hanging="338"/>
        <w:spacing w:after="0"/>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The term "Committee" shall have the meaning set forth in Section 1.2.</w:t>
      </w:r>
    </w:p>
    <w:p>
      <w:pPr>
        <w:spacing w:after="0" w:line="225" w:lineRule="exact"/>
        <w:rPr>
          <w:rFonts w:ascii="Arial" w:cs="Arial" w:eastAsia="Arial" w:hAnsi="Arial"/>
          <w:sz w:val="18"/>
          <w:szCs w:val="18"/>
          <w:color w:val="auto"/>
        </w:rPr>
      </w:pPr>
    </w:p>
    <w:p>
      <w:pPr>
        <w:ind w:left="960" w:hanging="338"/>
        <w:spacing w:after="0"/>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The term "Company" shall have the meaning set forth in Section 1.1.</w:t>
      </w:r>
    </w:p>
    <w:p>
      <w:pPr>
        <w:spacing w:after="0" w:line="225" w:lineRule="exact"/>
        <w:rPr>
          <w:rFonts w:ascii="Arial" w:cs="Arial" w:eastAsia="Arial" w:hAnsi="Arial"/>
          <w:sz w:val="18"/>
          <w:szCs w:val="18"/>
          <w:color w:val="auto"/>
        </w:rPr>
      </w:pPr>
    </w:p>
    <w:p>
      <w:pPr>
        <w:ind w:right="40" w:firstLine="622"/>
        <w:spacing w:after="0" w:line="256" w:lineRule="auto"/>
        <w:tabs>
          <w:tab w:leader="none" w:pos="994"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The term "Effective Date" means the date on which this Plan is approved by shareholders of the Company eligible to vote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by a vote sufficient to meet the requirements of Section 422 of the Code, Rule 16b-3 under the Exchange Act (if applicable), applicable requirements under the rules of any securities exchange or automated quotation system on which the Stock may be listed or quoted, and any other laws, regulations and obligations of the Company applicable to the Plan.</w:t>
      </w:r>
    </w:p>
    <w:p>
      <w:pPr>
        <w:spacing w:after="0" w:line="196" w:lineRule="exact"/>
        <w:rPr>
          <w:rFonts w:ascii="Arial" w:cs="Arial" w:eastAsia="Arial" w:hAnsi="Arial"/>
          <w:sz w:val="18"/>
          <w:szCs w:val="18"/>
          <w:color w:val="auto"/>
        </w:rPr>
      </w:pPr>
    </w:p>
    <w:p>
      <w:pPr>
        <w:ind w:right="140" w:firstLine="622"/>
        <w:spacing w:after="0" w:line="259" w:lineRule="auto"/>
        <w:tabs>
          <w:tab w:leader="none" w:pos="955"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Eligible Person. </w:t>
      </w:r>
      <w:r>
        <w:rPr>
          <w:rFonts w:ascii="Arial" w:cs="Arial" w:eastAsia="Arial" w:hAnsi="Arial"/>
          <w:sz w:val="18"/>
          <w:szCs w:val="18"/>
          <w:color w:val="auto"/>
        </w:rPr>
        <w:t>The term "Eligible Person" means any employee, officer or member of the board of directors of the Company or a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or any consultant or other person who performs services for the Company or any Subsidiary, including any prospective employee, officer, member or consultant.</w:t>
      </w:r>
    </w:p>
    <w:p>
      <w:pPr>
        <w:spacing w:after="0" w:line="193" w:lineRule="exact"/>
        <w:rPr>
          <w:rFonts w:ascii="Arial" w:cs="Arial" w:eastAsia="Arial" w:hAnsi="Arial"/>
          <w:sz w:val="18"/>
          <w:szCs w:val="18"/>
          <w:color w:val="auto"/>
        </w:rPr>
      </w:pPr>
    </w:p>
    <w:p>
      <w:pPr>
        <w:ind w:right="140" w:firstLine="622"/>
        <w:spacing w:after="0" w:line="268" w:lineRule="auto"/>
        <w:tabs>
          <w:tab w:leader="none" w:pos="1043"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The term "Exchange Act" means the Securities Exchange Act of 1934, as amended from time to time, or any successor statute</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and the regulations promulgated thereunder.</w:t>
      </w:r>
    </w:p>
    <w:p>
      <w:pPr>
        <w:spacing w:after="0" w:line="185" w:lineRule="exact"/>
        <w:rPr>
          <w:rFonts w:ascii="Arial" w:cs="Arial" w:eastAsia="Arial" w:hAnsi="Arial"/>
          <w:sz w:val="18"/>
          <w:szCs w:val="18"/>
          <w:color w:val="auto"/>
        </w:rPr>
      </w:pPr>
    </w:p>
    <w:p>
      <w:pPr>
        <w:ind w:left="1000" w:hanging="37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term "Exercise Price" shall have the meaning set forth in Section 2.2.</w:t>
      </w:r>
    </w:p>
    <w:p>
      <w:pPr>
        <w:spacing w:after="0" w:line="225" w:lineRule="exact"/>
        <w:rPr>
          <w:rFonts w:ascii="Arial" w:cs="Arial" w:eastAsia="Arial" w:hAnsi="Arial"/>
          <w:sz w:val="18"/>
          <w:szCs w:val="18"/>
          <w:color w:val="auto"/>
        </w:rPr>
      </w:pPr>
    </w:p>
    <w:p>
      <w:pPr>
        <w:ind w:right="40" w:firstLine="622"/>
        <w:spacing w:after="0" w:line="259" w:lineRule="auto"/>
        <w:tabs>
          <w:tab w:leader="none" w:pos="994"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The term "Fair Market Value" means (i) with respect to any property other than shares of Stock, the fair market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property determined by such methods or procedures as shall be established from time to time by the Committee and (ii) with respect to a share of Stock as of any date,</w:t>
      </w:r>
    </w:p>
    <w:p>
      <w:pPr>
        <w:spacing w:after="0" w:line="194" w:lineRule="exact"/>
        <w:rPr>
          <w:sz w:val="20"/>
          <w:szCs w:val="20"/>
          <w:color w:val="auto"/>
        </w:rPr>
      </w:pPr>
    </w:p>
    <w:p>
      <w:pPr>
        <w:ind w:right="160" w:firstLine="622"/>
        <w:spacing w:after="0" w:line="259" w:lineRule="auto"/>
        <w:tabs>
          <w:tab w:leader="none" w:pos="9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principal market for the Stock is a national securities exchange or the NASDAQ stock market, then the "Fair Market Value" as of that date shall be the closing sales price of the Stock on the day that the Award is granted on the principal exchange or market on which the Stock is then listed or admitted to trading;</w:t>
      </w:r>
    </w:p>
    <w:p>
      <w:pPr>
        <w:spacing w:after="0" w:line="193" w:lineRule="exact"/>
        <w:rPr>
          <w:rFonts w:ascii="Arial" w:cs="Arial" w:eastAsia="Arial" w:hAnsi="Arial"/>
          <w:sz w:val="18"/>
          <w:szCs w:val="18"/>
          <w:color w:val="auto"/>
        </w:rPr>
      </w:pPr>
    </w:p>
    <w:p>
      <w:pPr>
        <w:jc w:val="both"/>
        <w:ind w:right="420" w:firstLine="622"/>
        <w:spacing w:after="0" w:line="306" w:lineRule="auto"/>
        <w:tabs>
          <w:tab w:leader="none" w:pos="93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sale prices are not available or if the principal market for the Stock is not a national securities exchange and the Stock is not quoted on the NASDAQ stock market, the average between the highest bid and lowest asked prices for the Stock on the day that the Award is granted as reported on the NASDAQ OTC Bulletin Board Service or by the National Quotation Bureau, Incorporated or a comparable service; and</w:t>
      </w:r>
    </w:p>
    <w:p>
      <w:pPr>
        <w:spacing w:after="0" w:line="160" w:lineRule="exact"/>
        <w:rPr>
          <w:rFonts w:ascii="Arial" w:cs="Arial" w:eastAsia="Arial" w:hAnsi="Arial"/>
          <w:sz w:val="16"/>
          <w:szCs w:val="16"/>
          <w:color w:val="auto"/>
        </w:rPr>
      </w:pPr>
    </w:p>
    <w:p>
      <w:pPr>
        <w:ind w:right="200" w:firstLine="622"/>
        <w:spacing w:after="0" w:line="259" w:lineRule="auto"/>
        <w:tabs>
          <w:tab w:leader="none" w:pos="93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day is not a trading day, and as a result, paragraphs (A) and (B) next above are inapplicable, the Fair Market Value of the Stock shall be determined as on the most recent trading day prior to the date the Award is granted. If paragraphs (A) and (B) next above are otherwise inapplicable, then the Fair Market Value of the Stock shall be determined in good faith by the Committee.</w:t>
      </w:r>
    </w:p>
    <w:p>
      <w:pPr>
        <w:spacing w:after="0" w:line="194" w:lineRule="exact"/>
        <w:rPr>
          <w:sz w:val="20"/>
          <w:szCs w:val="20"/>
          <w:color w:val="auto"/>
        </w:rPr>
      </w:pPr>
    </w:p>
    <w:p>
      <w:pPr>
        <w:ind w:left="1000" w:hanging="378"/>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The term "Incentive Stock Option" shall have the meaning set forth in Section 2.1(a).</w:t>
      </w:r>
    </w:p>
    <w:p>
      <w:pPr>
        <w:spacing w:after="0" w:line="225" w:lineRule="exact"/>
        <w:rPr>
          <w:rFonts w:ascii="Arial" w:cs="Arial" w:eastAsia="Arial" w:hAnsi="Arial"/>
          <w:sz w:val="18"/>
          <w:szCs w:val="18"/>
          <w:color w:val="auto"/>
        </w:rPr>
      </w:pPr>
    </w:p>
    <w:p>
      <w:pPr>
        <w:ind w:left="1000" w:hanging="378"/>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Independent Director.  </w:t>
      </w:r>
      <w:r>
        <w:rPr>
          <w:rFonts w:ascii="Arial" w:cs="Arial" w:eastAsia="Arial" w:hAnsi="Arial"/>
          <w:sz w:val="18"/>
          <w:szCs w:val="18"/>
          <w:color w:val="auto"/>
        </w:rPr>
        <w:t>The term "Independent Director" shall have the meaning set forth in Section 6.1.</w:t>
      </w:r>
    </w:p>
    <w:p>
      <w:pPr>
        <w:spacing w:after="0" w:line="15" w:lineRule="exact"/>
        <w:rPr>
          <w:sz w:val="20"/>
          <w:szCs w:val="20"/>
          <w:color w:val="auto"/>
        </w:rPr>
      </w:pP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58"/>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The term "Non-Qualified Stock Option" shall have the meaning set forth in Section 2.1(a).</w:t>
      </w:r>
    </w:p>
    <w:p>
      <w:pPr>
        <w:spacing w:after="0" w:line="225" w:lineRule="exact"/>
        <w:rPr>
          <w:rFonts w:ascii="Arial" w:cs="Arial" w:eastAsia="Arial" w:hAnsi="Arial"/>
          <w:sz w:val="18"/>
          <w:szCs w:val="18"/>
          <w:color w:val="auto"/>
        </w:rPr>
      </w:pPr>
    </w:p>
    <w:p>
      <w:pPr>
        <w:ind w:left="980" w:hanging="358"/>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The term "Option" shall have the meaning set forth in Section 2.1(a).</w:t>
      </w:r>
    </w:p>
    <w:p>
      <w:pPr>
        <w:spacing w:after="0" w:line="225" w:lineRule="exact"/>
        <w:rPr>
          <w:rFonts w:ascii="Arial" w:cs="Arial" w:eastAsia="Arial" w:hAnsi="Arial"/>
          <w:sz w:val="18"/>
          <w:szCs w:val="18"/>
          <w:color w:val="auto"/>
        </w:rPr>
      </w:pPr>
    </w:p>
    <w:p>
      <w:pPr>
        <w:ind w:left="960" w:hanging="338"/>
        <w:spacing w:after="0"/>
        <w:tabs>
          <w:tab w:leader="none" w:pos="96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Other Stock-Based Award.  </w:t>
      </w:r>
      <w:r>
        <w:rPr>
          <w:rFonts w:ascii="Arial" w:cs="Arial" w:eastAsia="Arial" w:hAnsi="Arial"/>
          <w:sz w:val="18"/>
          <w:szCs w:val="18"/>
          <w:color w:val="auto"/>
        </w:rPr>
        <w:t>The term "Other Stock-Based Award" shall have the meaning set forth in Section 3.1(b).</w:t>
      </w:r>
    </w:p>
    <w:p>
      <w:pPr>
        <w:spacing w:after="0" w:line="225" w:lineRule="exact"/>
        <w:rPr>
          <w:rFonts w:ascii="Arial" w:cs="Arial" w:eastAsia="Arial" w:hAnsi="Arial"/>
          <w:sz w:val="18"/>
          <w:szCs w:val="18"/>
          <w:color w:val="auto"/>
        </w:rPr>
      </w:pPr>
    </w:p>
    <w:p>
      <w:pPr>
        <w:ind w:left="1000" w:hanging="378"/>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The term "Participant(s)" shall have the meaning set forth in Section 1.2.</w:t>
      </w:r>
    </w:p>
    <w:p>
      <w:pPr>
        <w:spacing w:after="0" w:line="225" w:lineRule="exact"/>
        <w:rPr>
          <w:rFonts w:ascii="Arial" w:cs="Arial" w:eastAsia="Arial" w:hAnsi="Arial"/>
          <w:sz w:val="18"/>
          <w:szCs w:val="18"/>
          <w:color w:val="auto"/>
        </w:rPr>
      </w:pPr>
    </w:p>
    <w:p>
      <w:pPr>
        <w:ind w:left="1000" w:hanging="378"/>
        <w:spacing w:after="0"/>
        <w:tabs>
          <w:tab w:leader="none" w:pos="100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Performance Compensation Award.  </w:t>
      </w:r>
      <w:r>
        <w:rPr>
          <w:rFonts w:ascii="Arial" w:cs="Arial" w:eastAsia="Arial" w:hAnsi="Arial"/>
          <w:sz w:val="16"/>
          <w:szCs w:val="16"/>
          <w:color w:val="auto"/>
        </w:rPr>
        <w:t>The term "Performance Compensation Award" shall have the meaning set forth in Section 3.1(c).</w:t>
      </w:r>
    </w:p>
    <w:p>
      <w:pPr>
        <w:spacing w:after="0" w:line="248" w:lineRule="exact"/>
        <w:rPr>
          <w:rFonts w:ascii="Arial" w:cs="Arial" w:eastAsia="Arial" w:hAnsi="Arial"/>
          <w:sz w:val="16"/>
          <w:szCs w:val="16"/>
          <w:color w:val="auto"/>
        </w:rPr>
      </w:pPr>
    </w:p>
    <w:p>
      <w:pPr>
        <w:ind w:left="1040" w:hanging="418"/>
        <w:spacing w:after="0"/>
        <w:tabs>
          <w:tab w:leader="none" w:pos="104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Performance Goal(s).  </w:t>
      </w:r>
      <w:r>
        <w:rPr>
          <w:rFonts w:ascii="Arial" w:cs="Arial" w:eastAsia="Arial" w:hAnsi="Arial"/>
          <w:sz w:val="18"/>
          <w:szCs w:val="18"/>
          <w:color w:val="auto"/>
        </w:rPr>
        <w:t>The term "Performance Goal(s)" means the measures set forth in Section 3.3(a).</w:t>
      </w:r>
    </w:p>
    <w:p>
      <w:pPr>
        <w:spacing w:after="0" w:line="225" w:lineRule="exact"/>
        <w:rPr>
          <w:rFonts w:ascii="Arial" w:cs="Arial" w:eastAsia="Arial" w:hAnsi="Arial"/>
          <w:sz w:val="18"/>
          <w:szCs w:val="18"/>
          <w:color w:val="auto"/>
        </w:rPr>
      </w:pPr>
    </w:p>
    <w:p>
      <w:pPr>
        <w:ind w:right="100" w:firstLine="622"/>
        <w:spacing w:after="0" w:line="369" w:lineRule="auto"/>
        <w:tabs>
          <w:tab w:leader="none" w:pos="994" w:val="left"/>
        </w:tabs>
        <w:numPr>
          <w:ilvl w:val="0"/>
          <w:numId w:val="106"/>
        </w:numPr>
        <w:rPr>
          <w:rFonts w:ascii="Arial" w:cs="Arial" w:eastAsia="Arial" w:hAnsi="Arial"/>
          <w:sz w:val="15"/>
          <w:szCs w:val="15"/>
          <w:color w:val="auto"/>
        </w:rPr>
      </w:pPr>
      <w:r>
        <w:rPr>
          <w:rFonts w:ascii="Arial" w:cs="Arial" w:eastAsia="Arial" w:hAnsi="Arial"/>
          <w:sz w:val="15"/>
          <w:szCs w:val="15"/>
          <w:i w:val="1"/>
          <w:iCs w:val="1"/>
          <w:color w:val="auto"/>
        </w:rPr>
        <w:t xml:space="preserve">Performance Period. </w:t>
      </w:r>
      <w:r>
        <w:rPr>
          <w:rFonts w:ascii="Arial" w:cs="Arial" w:eastAsia="Arial" w:hAnsi="Arial"/>
          <w:sz w:val="15"/>
          <w:szCs w:val="15"/>
          <w:color w:val="auto"/>
        </w:rPr>
        <w:t>The term "Performance Period" means one or more periods of time, as the Committee may select, over which the</w:t>
      </w:r>
      <w:r>
        <w:rPr>
          <w:rFonts w:ascii="Arial" w:cs="Arial" w:eastAsia="Arial" w:hAnsi="Arial"/>
          <w:sz w:val="15"/>
          <w:szCs w:val="15"/>
          <w:i w:val="1"/>
          <w:iCs w:val="1"/>
          <w:color w:val="auto"/>
        </w:rPr>
        <w:t xml:space="preserve"> </w:t>
      </w:r>
      <w:r>
        <w:rPr>
          <w:rFonts w:ascii="Arial" w:cs="Arial" w:eastAsia="Arial" w:hAnsi="Arial"/>
          <w:sz w:val="15"/>
          <w:szCs w:val="15"/>
          <w:color w:val="auto"/>
        </w:rPr>
        <w:t>attainment of one or more Performance Goals will be measured for the purpose of determining the granting or vesting of a Performance Compensation Award.</w:t>
      </w:r>
    </w:p>
    <w:p>
      <w:pPr>
        <w:spacing w:after="0" w:line="117" w:lineRule="exact"/>
        <w:rPr>
          <w:rFonts w:ascii="Arial" w:cs="Arial" w:eastAsia="Arial" w:hAnsi="Arial"/>
          <w:sz w:val="15"/>
          <w:szCs w:val="15"/>
          <w:color w:val="auto"/>
        </w:rPr>
      </w:pPr>
    </w:p>
    <w:p>
      <w:pPr>
        <w:ind w:left="1000" w:hanging="378"/>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The term "Plan" shall have the meaning set forth in Section 1.1</w:t>
      </w:r>
    </w:p>
    <w:p>
      <w:pPr>
        <w:spacing w:after="0" w:line="225" w:lineRule="exact"/>
        <w:rPr>
          <w:rFonts w:ascii="Arial" w:cs="Arial" w:eastAsia="Arial" w:hAnsi="Arial"/>
          <w:sz w:val="18"/>
          <w:szCs w:val="18"/>
          <w:color w:val="auto"/>
        </w:rPr>
      </w:pPr>
    </w:p>
    <w:p>
      <w:pPr>
        <w:ind w:right="160" w:firstLine="622"/>
        <w:spacing w:after="0" w:line="331" w:lineRule="auto"/>
        <w:tabs>
          <w:tab w:leader="none" w:pos="984"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Prior Plans. </w:t>
      </w:r>
      <w:r>
        <w:rPr>
          <w:rFonts w:ascii="Arial" w:cs="Arial" w:eastAsia="Arial" w:hAnsi="Arial"/>
          <w:sz w:val="16"/>
          <w:szCs w:val="16"/>
          <w:color w:val="auto"/>
        </w:rPr>
        <w:t>The term "Prior Plans" shall mean the World Fuel Services Corporation 2016 Omnibus Plan, as amended and restated (the "2016</w:t>
      </w:r>
      <w:r>
        <w:rPr>
          <w:rFonts w:ascii="Arial" w:cs="Arial" w:eastAsia="Arial" w:hAnsi="Arial"/>
          <w:sz w:val="16"/>
          <w:szCs w:val="16"/>
          <w:i w:val="1"/>
          <w:iCs w:val="1"/>
          <w:color w:val="auto"/>
        </w:rPr>
        <w:t xml:space="preserve"> </w:t>
      </w:r>
      <w:r>
        <w:rPr>
          <w:rFonts w:ascii="Arial" w:cs="Arial" w:eastAsia="Arial" w:hAnsi="Arial"/>
          <w:sz w:val="16"/>
          <w:szCs w:val="16"/>
          <w:color w:val="auto"/>
        </w:rPr>
        <w:t>Plan") and the 2006 Omnibus Plan, as amended and restated (the "2006 Plan," together with the 2016 Plan, the "Prior Plans").</w:t>
      </w:r>
    </w:p>
    <w:p>
      <w:pPr>
        <w:spacing w:after="0" w:line="141" w:lineRule="exact"/>
        <w:rPr>
          <w:sz w:val="20"/>
          <w:szCs w:val="20"/>
          <w:color w:val="auto"/>
        </w:rPr>
      </w:pPr>
    </w:p>
    <w:p>
      <w:pPr>
        <w:ind w:right="80" w:firstLine="622"/>
        <w:spacing w:after="0" w:line="331" w:lineRule="auto"/>
        <w:tabs>
          <w:tab w:leader="none" w:pos="1062"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Prior Plan Award. </w:t>
      </w:r>
      <w:r>
        <w:rPr>
          <w:rFonts w:ascii="Arial" w:cs="Arial" w:eastAsia="Arial" w:hAnsi="Arial"/>
          <w:sz w:val="16"/>
          <w:szCs w:val="16"/>
          <w:color w:val="auto"/>
        </w:rPr>
        <w:t>The term "Prior Plan Award" shall mean any award or benefit granted under a Prior Plan, including, without limitation,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 of any cash or equity-based awards with rights similar to an Award granted hereunder, that is outstanding as of the Effective Date.</w:t>
      </w:r>
    </w:p>
    <w:p>
      <w:pPr>
        <w:spacing w:after="0" w:line="140" w:lineRule="exact"/>
        <w:rPr>
          <w:rFonts w:ascii="Arial" w:cs="Arial" w:eastAsia="Arial" w:hAnsi="Arial"/>
          <w:sz w:val="16"/>
          <w:szCs w:val="16"/>
          <w:color w:val="auto"/>
        </w:rPr>
      </w:pPr>
    </w:p>
    <w:p>
      <w:pPr>
        <w:ind w:left="1100" w:hanging="478"/>
        <w:spacing w:after="0"/>
        <w:tabs>
          <w:tab w:leader="none" w:pos="11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The term "Restricted Stock Award" shall have the meaning set forth in Section 3.1(d).</w:t>
      </w:r>
    </w:p>
    <w:p>
      <w:pPr>
        <w:spacing w:after="0" w:line="225" w:lineRule="exact"/>
        <w:rPr>
          <w:rFonts w:ascii="Arial" w:cs="Arial" w:eastAsia="Arial" w:hAnsi="Arial"/>
          <w:sz w:val="18"/>
          <w:szCs w:val="18"/>
          <w:color w:val="auto"/>
        </w:rPr>
      </w:pPr>
    </w:p>
    <w:p>
      <w:pPr>
        <w:ind w:left="1080" w:hanging="458"/>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Award.  </w:t>
      </w:r>
      <w:r>
        <w:rPr>
          <w:rFonts w:ascii="Arial" w:cs="Arial" w:eastAsia="Arial" w:hAnsi="Arial"/>
          <w:sz w:val="18"/>
          <w:szCs w:val="18"/>
          <w:color w:val="auto"/>
        </w:rPr>
        <w:t>The term "Restricted Stock Unit Award" shall have the meaning set forth in Section 3.1(e).</w:t>
      </w:r>
    </w:p>
    <w:p>
      <w:pPr>
        <w:spacing w:after="0" w:line="225" w:lineRule="exact"/>
        <w:rPr>
          <w:rFonts w:ascii="Arial" w:cs="Arial" w:eastAsia="Arial" w:hAnsi="Arial"/>
          <w:sz w:val="18"/>
          <w:szCs w:val="18"/>
          <w:color w:val="auto"/>
        </w:rPr>
      </w:pPr>
    </w:p>
    <w:p>
      <w:pPr>
        <w:ind w:left="1100" w:hanging="478"/>
        <w:spacing w:after="0"/>
        <w:tabs>
          <w:tab w:leader="none" w:pos="11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SAR.  </w:t>
      </w:r>
      <w:r>
        <w:rPr>
          <w:rFonts w:ascii="Arial" w:cs="Arial" w:eastAsia="Arial" w:hAnsi="Arial"/>
          <w:sz w:val="18"/>
          <w:szCs w:val="18"/>
          <w:color w:val="auto"/>
        </w:rPr>
        <w:t>The term "SAR" shall have the meaning set forth in Section 2.1(b).</w:t>
      </w:r>
    </w:p>
    <w:p>
      <w:pPr>
        <w:spacing w:after="0" w:line="225" w:lineRule="exact"/>
        <w:rPr>
          <w:rFonts w:ascii="Arial" w:cs="Arial" w:eastAsia="Arial" w:hAnsi="Arial"/>
          <w:sz w:val="18"/>
          <w:szCs w:val="18"/>
          <w:color w:val="auto"/>
        </w:rPr>
      </w:pPr>
    </w:p>
    <w:p>
      <w:pPr>
        <w:ind w:left="1080" w:hanging="458"/>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The term "Stock Appreciation Right" shall have the meaning set forth in Section 2.1(b).</w:t>
      </w:r>
    </w:p>
    <w:p>
      <w:pPr>
        <w:spacing w:after="0" w:line="225" w:lineRule="exact"/>
        <w:rPr>
          <w:rFonts w:ascii="Arial" w:cs="Arial" w:eastAsia="Arial" w:hAnsi="Arial"/>
          <w:sz w:val="18"/>
          <w:szCs w:val="18"/>
          <w:color w:val="auto"/>
        </w:rPr>
      </w:pPr>
    </w:p>
    <w:p>
      <w:pPr>
        <w:ind w:left="1020" w:hanging="398"/>
        <w:spacing w:after="0"/>
        <w:tabs>
          <w:tab w:leader="none" w:pos="102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Stock Unit Award.  </w:t>
      </w:r>
      <w:r>
        <w:rPr>
          <w:rFonts w:ascii="Arial" w:cs="Arial" w:eastAsia="Arial" w:hAnsi="Arial"/>
          <w:sz w:val="18"/>
          <w:szCs w:val="18"/>
          <w:color w:val="auto"/>
        </w:rPr>
        <w:t>The term "Stock Unit Award" shall have the meaning set forth in Section 3.1(f).</w:t>
      </w:r>
    </w:p>
    <w:p>
      <w:pPr>
        <w:spacing w:after="0" w:line="225" w:lineRule="exact"/>
        <w:rPr>
          <w:rFonts w:ascii="Arial" w:cs="Arial" w:eastAsia="Arial" w:hAnsi="Arial"/>
          <w:sz w:val="18"/>
          <w:szCs w:val="18"/>
          <w:color w:val="auto"/>
        </w:rPr>
      </w:pPr>
    </w:p>
    <w:p>
      <w:pPr>
        <w:ind w:right="180" w:firstLine="622"/>
        <w:spacing w:after="0" w:line="268" w:lineRule="auto"/>
        <w:tabs>
          <w:tab w:leader="none" w:pos="1082"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The term "Subsidiary" means any company during any period in which it is a "subsidiary corporation" (as that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424(f) of the Code) with respect to the Company.</w:t>
      </w:r>
    </w:p>
    <w:p>
      <w:pPr>
        <w:spacing w:after="0" w:line="185" w:lineRule="exact"/>
        <w:rPr>
          <w:rFonts w:ascii="Arial" w:cs="Arial" w:eastAsia="Arial" w:hAnsi="Arial"/>
          <w:sz w:val="18"/>
          <w:szCs w:val="18"/>
          <w:color w:val="auto"/>
        </w:rPr>
      </w:pPr>
    </w:p>
    <w:p>
      <w:pPr>
        <w:ind w:right="20" w:firstLine="622"/>
        <w:spacing w:after="0" w:line="259" w:lineRule="auto"/>
        <w:tabs>
          <w:tab w:leader="none" w:pos="1082"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Substitute Awards. </w:t>
      </w:r>
      <w:r>
        <w:rPr>
          <w:rFonts w:ascii="Arial" w:cs="Arial" w:eastAsia="Arial" w:hAnsi="Arial"/>
          <w:sz w:val="18"/>
          <w:szCs w:val="18"/>
          <w:color w:val="auto"/>
        </w:rPr>
        <w:t>The term "Substitute Awards" means Awards granted or Stock issued by the Company in assumption of, or in substitution</w:t>
      </w:r>
      <w:r>
        <w:rPr>
          <w:rFonts w:ascii="Arial" w:cs="Arial" w:eastAsia="Arial" w:hAnsi="Arial"/>
          <w:sz w:val="18"/>
          <w:szCs w:val="18"/>
          <w:i w:val="1"/>
          <w:iCs w:val="1"/>
          <w:color w:val="auto"/>
        </w:rPr>
        <w:t xml:space="preserve"> </w:t>
      </w:r>
      <w:r>
        <w:rPr>
          <w:rFonts w:ascii="Arial" w:cs="Arial" w:eastAsia="Arial" w:hAnsi="Arial"/>
          <w:sz w:val="18"/>
          <w:szCs w:val="18"/>
          <w:color w:val="auto"/>
        </w:rPr>
        <w:t>or exchange for, awards previously granted, or the right or obligation to make future awards, by a company acquired by the Company or any Subsidiary or with which the Company or any Subsidiary combines.</w:t>
      </w:r>
    </w:p>
    <w:p>
      <w:pPr>
        <w:spacing w:after="0" w:line="193" w:lineRule="exact"/>
        <w:rPr>
          <w:rFonts w:ascii="Arial" w:cs="Arial" w:eastAsia="Arial" w:hAnsi="Arial"/>
          <w:sz w:val="18"/>
          <w:szCs w:val="18"/>
          <w:color w:val="auto"/>
        </w:rPr>
      </w:pPr>
    </w:p>
    <w:p>
      <w:pPr>
        <w:ind w:left="1020" w:hanging="398"/>
        <w:spacing w:after="0"/>
        <w:tabs>
          <w:tab w:leader="none" w:pos="102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The term "Stock" means shares of common stock, par value $.01 per share, of the Company.</w:t>
      </w:r>
    </w:p>
    <w:p>
      <w:pPr>
        <w:spacing w:after="0" w:line="15" w:lineRule="exact"/>
        <w:rPr>
          <w:sz w:val="20"/>
          <w:szCs w:val="20"/>
          <w:color w:val="auto"/>
        </w:rPr>
      </w:pP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2020 Proxy Statement</w:t>
      </w:r>
      <w:r>
        <w:rPr>
          <w:sz w:val="20"/>
          <w:szCs w:val="20"/>
          <w:color w:val="auto"/>
        </w:rPr>
        <w:tab/>
      </w:r>
      <w:r>
        <w:rPr>
          <w:rFonts w:ascii="Arial" w:cs="Arial" w:eastAsia="Arial" w:hAnsi="Arial"/>
          <w:sz w:val="16"/>
          <w:szCs w:val="16"/>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361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6"/>
          <w:szCs w:val="16"/>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160655</wp:posOffset>
            </wp:positionV>
            <wp:extent cx="713613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234315</wp:posOffset>
            </wp:positionV>
            <wp:extent cx="6909435" cy="89408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6909435" cy="8940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97155</wp:posOffset>
            </wp:positionV>
            <wp:extent cx="6909435" cy="89408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6909435" cy="8940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o"/>
      <w:numFmt w:val="bullet"/>
      <w:start w:val="1"/>
    </w:lvl>
    <w:lvl w:ilvl="1">
      <w:lvlJc w:val="left"/>
      <w:lvlText w:val="(%2)"/>
      <w:numFmt w:val="decimal"/>
      <w:start w:val="1"/>
    </w:lvl>
  </w:abstractNum>
  <w:abstractNum w:abstractNumId="2">
    <w:nsid w:val="23F9C13C"/>
    <w:multiLevelType w:val="hybridMultilevel"/>
    <w:lvl w:ilvl="0">
      <w:lvlJc w:val="left"/>
      <w:lvlText w:val="%1."/>
      <w:numFmt w:val="decimal"/>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lvl w:ilvl="1">
      <w:lvlJc w:val="left"/>
      <w:lvlText w:val="%2)"/>
      <w:numFmt w:val="decimal"/>
      <w:start w:val="1"/>
    </w:lvl>
  </w:abstractNum>
  <w:abstractNum w:abstractNumId="6">
    <w:nsid w:val="1CF10FD8"/>
    <w:multiLevelType w:val="hybridMultilevel"/>
    <w:lvl w:ilvl="0">
      <w:lvlJc w:val="left"/>
      <w:lvlText w:val="%1."/>
      <w:numFmt w:val="upperLetter"/>
      <w:start w:val="9"/>
    </w:lvl>
  </w:abstractNum>
  <w:abstractNum w:abstractNumId="7">
    <w:nsid w:val="180115BE"/>
    <w:multiLevelType w:val="hybridMultilevel"/>
    <w:lvl w:ilvl="0">
      <w:lvlJc w:val="left"/>
      <w:lvlText w:val="%1."/>
      <w:numFmt w:val="upperLetter"/>
      <w:start w:val="35"/>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1)"/>
      <w:numFmt w:val="decimal"/>
      <w:start w:val="1"/>
    </w:lvl>
  </w:abstractNum>
  <w:abstractNum w:abstractNumId="27">
    <w:nsid w:val="1381823A"/>
    <w:multiLevelType w:val="hybridMultilevel"/>
    <w:lvl w:ilvl="0">
      <w:lvlJc w:val="left"/>
      <w:lvlText w:val="(%1)"/>
      <w:numFmt w:val="lowerLetter"/>
      <w:start w:val="1"/>
    </w:lvl>
  </w:abstractNum>
  <w:abstractNum w:abstractNumId="28">
    <w:nsid w:val="5DB70AE5"/>
    <w:multiLevelType w:val="hybridMultilevel"/>
    <w:lvl w:ilvl="0">
      <w:lvlJc w:val="left"/>
      <w:lvlText w:val="(%1)"/>
      <w:numFmt w:val="decimal"/>
      <w:start w:val="4"/>
    </w:lvl>
  </w:abstractNum>
  <w:abstractNum w:abstractNumId="29">
    <w:nsid w:val="100F8FCA"/>
    <w:multiLevelType w:val="hybridMultilevel"/>
    <w:lvl w:ilvl="0">
      <w:lvlJc w:val="left"/>
      <w:lvlText w:val="%1."/>
      <w:numFmt w:val="upperLetter"/>
      <w:start w:val="61"/>
    </w:lvl>
  </w:abstractNum>
  <w:abstractNum w:abstractNumId="30">
    <w:nsid w:val="6590700B"/>
    <w:multiLevelType w:val="hybridMultilevel"/>
    <w:lvl w:ilvl="0">
      <w:lvlJc w:val="left"/>
      <w:lvlText w:val="(%1)"/>
      <w:numFmt w:val="decimal"/>
      <w:start w:val="2"/>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1."/>
      <w:numFmt w:val="upperLetter"/>
      <w:start w:val="22"/>
    </w:lvl>
  </w:abstractNum>
  <w:abstractNum w:abstractNumId="37">
    <w:nsid w:val="168E121F"/>
    <w:multiLevelType w:val="hybridMultilevel"/>
    <w:lvl w:ilvl="0">
      <w:lvlJc w:val="left"/>
      <w:lvlText w:val="(%1)"/>
      <w:numFmt w:val="decimal"/>
      <w:start w:val="1"/>
    </w:lvl>
  </w:abstractNum>
  <w:abstractNum w:abstractNumId="38">
    <w:nsid w:val="1EBA5D23"/>
    <w:multiLevelType w:val="hybridMultilevel"/>
    <w:lvl w:ilvl="0">
      <w:lvlJc w:val="left"/>
      <w:lvlText w:val="(%1)"/>
      <w:numFmt w:val="decimal"/>
      <w:start w:val="1"/>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1)"/>
      <w:numFmt w:val="decimal"/>
      <w:start w:val="2"/>
    </w:lvl>
  </w:abstractNum>
  <w:abstractNum w:abstractNumId="41">
    <w:nsid w:val="540A471C"/>
    <w:multiLevelType w:val="hybridMultilevel"/>
    <w:lvl w:ilvl="0">
      <w:lvlJc w:val="left"/>
      <w:lvlText w:val="(%1)"/>
      <w:numFmt w:val="decimal"/>
      <w:start w:val="1"/>
    </w:lvl>
  </w:abstractNum>
  <w:abstractNum w:abstractNumId="42">
    <w:nsid w:val="7BD3EE7B"/>
    <w:multiLevelType w:val="hybridMultilevel"/>
    <w:lvl w:ilvl="0">
      <w:lvlJc w:val="left"/>
      <w:lvlText w:val="(%1)"/>
      <w:numFmt w:val="decimal"/>
      <w:start w:val="6"/>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decimal"/>
      <w:start w:val="1"/>
    </w:lvl>
  </w:abstractNum>
  <w:abstractNum w:abstractNumId="45">
    <w:nsid w:val="BF72B14"/>
    <w:multiLevelType w:val="hybridMultilevel"/>
    <w:lvl w:ilvl="0">
      <w:lvlJc w:val="left"/>
      <w:lvlText w:val="(%1)"/>
      <w:numFmt w:val="lowerRoman"/>
      <w:start w:val="4"/>
    </w:lvl>
  </w:abstractNum>
  <w:abstractNum w:abstractNumId="46">
    <w:nsid w:val="11447B73"/>
    <w:multiLevelType w:val="hybridMultilevel"/>
    <w:lvl w:ilvl="0">
      <w:lvlJc w:val="left"/>
      <w:lvlText w:val="(%1)"/>
      <w:numFmt w:val="lowerRoman"/>
      <w:start w:val="1"/>
    </w:lvl>
  </w:abstractNum>
  <w:abstractNum w:abstractNumId="47">
    <w:nsid w:val="42963E5A"/>
    <w:multiLevelType w:val="hybridMultilevel"/>
    <w:lvl w:ilvl="0">
      <w:lvlJc w:val="left"/>
      <w:lvlText w:val="(%1)"/>
      <w:numFmt w:val="lowerRoman"/>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1)"/>
      <w:numFmt w:val="decimal"/>
      <w:start w:val="3"/>
    </w:lvl>
  </w:abstractNum>
  <w:abstractNum w:abstractNumId="50">
    <w:nsid w:val="1A32234B"/>
    <w:multiLevelType w:val="hybridMultilevel"/>
    <w:lvl w:ilvl="0">
      <w:lvlJc w:val="left"/>
      <w:lvlText w:val="(%1)"/>
      <w:numFmt w:val="lowerRoman"/>
      <w:start w:val="3"/>
    </w:lvl>
  </w:abstractNum>
  <w:abstractNum w:abstractNumId="51">
    <w:nsid w:val="3B0FD379"/>
    <w:multiLevelType w:val="hybridMultilevel"/>
    <w:lvl w:ilvl="0">
      <w:lvlJc w:val="left"/>
      <w:lvlText w:val="(%1)"/>
      <w:numFmt w:val="lowerRoman"/>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1)"/>
      <w:numFmt w:val="decimal"/>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1)"/>
      <w:numFmt w:val="decimal"/>
      <w:start w:val="1"/>
    </w:lvl>
  </w:abstractNum>
  <w:abstractNum w:abstractNumId="56">
    <w:nsid w:val="14330624"/>
    <w:multiLevelType w:val="hybridMultilevel"/>
    <w:lvl w:ilvl="0">
      <w:lvlJc w:val="left"/>
      <w:lvlText w:val="(%1)"/>
      <w:numFmt w:val="lowerRoman"/>
      <w:start w:val="3"/>
    </w:lvl>
  </w:abstractNum>
  <w:abstractNum w:abstractNumId="57">
    <w:nsid w:val="7FFFCA11"/>
    <w:multiLevelType w:val="hybridMultilevel"/>
    <w:lvl w:ilvl="0">
      <w:lvlJc w:val="left"/>
      <w:lvlText w:val="(%1)"/>
      <w:numFmt w:val="decimal"/>
      <w:start w:val="5"/>
    </w:lvl>
  </w:abstractNum>
  <w:abstractNum w:abstractNumId="58">
    <w:nsid w:val="1A27709E"/>
    <w:multiLevelType w:val="hybridMultilevel"/>
    <w:lvl w:ilvl="0">
      <w:lvlJc w:val="left"/>
      <w:lvlText w:val="(%1)"/>
      <w:numFmt w:val="decimal"/>
      <w:start w:val="2"/>
    </w:lvl>
  </w:abstractNum>
  <w:abstractNum w:abstractNumId="59">
    <w:nsid w:val="71EA1109"/>
    <w:multiLevelType w:val="hybridMultilevel"/>
    <w:lvl w:ilvl="0">
      <w:lvlJc w:val="left"/>
      <w:lvlText w:val="(%1)"/>
      <w:numFmt w:val="decimal"/>
      <w:start w:val="16"/>
    </w:lvl>
  </w:abstractNum>
  <w:abstractNum w:abstractNumId="60">
    <w:nsid w:val="100F59DC"/>
    <w:multiLevelType w:val="hybridMultilevel"/>
    <w:lvl w:ilvl="0">
      <w:lvlJc w:val="left"/>
      <w:lvlText w:val="(%1)"/>
      <w:numFmt w:val="decimal"/>
      <w:start w:val="23"/>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1)"/>
      <w:numFmt w:val="lowerLetter"/>
      <w:start w:val="1"/>
    </w:lvl>
  </w:abstractNum>
  <w:abstractNum w:abstractNumId="66">
    <w:nsid w:val="76272110"/>
    <w:multiLevelType w:val="hybridMultilevel"/>
    <w:lvl w:ilvl="0">
      <w:lvlJc w:val="left"/>
      <w:lvlText w:val="(%1)"/>
      <w:numFmt w:val="lowerRoman"/>
      <w:start w:val="3"/>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1)"/>
      <w:numFmt w:val="decimal"/>
      <w:start w:val="3"/>
    </w:lvl>
  </w:abstractNum>
  <w:abstractNum w:abstractNumId="70">
    <w:nsid w:val="3222E7CD"/>
    <w:multiLevelType w:val="hybridMultilevel"/>
    <w:lvl w:ilvl="0">
      <w:lvlJc w:val="left"/>
      <w:lvlText w:val="(%1)"/>
      <w:numFmt w:val="decimal"/>
      <w:start w:val="12"/>
    </w:lvl>
  </w:abstractNum>
  <w:abstractNum w:abstractNumId="71">
    <w:nsid w:val="74DE0EE3"/>
    <w:multiLevelType w:val="hybridMultilevel"/>
    <w:lvl w:ilvl="0">
      <w:lvlJc w:val="left"/>
      <w:lvlText w:val="%1."/>
      <w:numFmt w:val="upperLetter"/>
      <w:start w:val="24"/>
    </w:lvl>
  </w:abstractNum>
  <w:abstractNum w:abstractNumId="72">
    <w:nsid w:val="68EBC550"/>
    <w:multiLevelType w:val="hybridMultilevel"/>
    <w:lvl w:ilvl="0">
      <w:lvlJc w:val="left"/>
      <w:lvlText w:val="(%1)"/>
      <w:numFmt w:val="lowerLetter"/>
      <w:start w:val="1"/>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1)"/>
      <w:numFmt w:val="lowerLetter"/>
      <w:start w:val="1"/>
    </w:lvl>
  </w:abstractNum>
  <w:abstractNum w:abstractNumId="75">
    <w:nsid w:val="4A2AC315"/>
    <w:multiLevelType w:val="hybridMultilevel"/>
    <w:lvl w:ilvl="0">
      <w:lvlJc w:val="left"/>
      <w:lvlText w:val="(%1)"/>
      <w:numFmt w:val="lowerLetter"/>
      <w:start w:val="4"/>
    </w:lvl>
  </w:abstractNum>
  <w:abstractNum w:abstractNumId="76">
    <w:nsid w:val="39EE015C"/>
    <w:multiLevelType w:val="hybridMultilevel"/>
    <w:lvl w:ilvl="0">
      <w:lvlJc w:val="left"/>
      <w:lvlText w:val="(%1)"/>
      <w:numFmt w:val="lowerLetter"/>
      <w:start w:val="1"/>
    </w:lvl>
  </w:abstractNum>
  <w:abstractNum w:abstractNumId="77">
    <w:nsid w:val="57FC4FBB"/>
    <w:multiLevelType w:val="hybridMultilevel"/>
    <w:lvl w:ilvl="0">
      <w:lvlJc w:val="left"/>
      <w:lvlText w:val="%1"/>
      <w:numFmt w:val="lowerLetter"/>
      <w:start w:val="1"/>
    </w:lvl>
    <w:lvl w:ilvl="1">
      <w:lvlJc w:val="left"/>
      <w:lvlText w:val="(%2)"/>
      <w:numFmt w:val="lowerLetter"/>
      <w:start w:val="2"/>
    </w:lvl>
  </w:abstractNum>
  <w:abstractNum w:abstractNumId="78">
    <w:nsid w:val="CC1016F"/>
    <w:multiLevelType w:val="hybridMultilevel"/>
    <w:lvl w:ilvl="0">
      <w:lvlJc w:val="left"/>
      <w:lvlText w:val="(%1)"/>
      <w:numFmt w:val="lowerLetter"/>
      <w:start w:val="35"/>
    </w:lvl>
    <w:lvl w:ilvl="1">
      <w:lvlJc w:val="left"/>
      <w:lvlText w:val="(%2)"/>
      <w:numFmt w:val="lowerLetter"/>
      <w:start w:val="3"/>
    </w:lvl>
  </w:abstractNum>
  <w:abstractNum w:abstractNumId="79">
    <w:nsid w:val="43F18422"/>
    <w:multiLevelType w:val="hybridMultilevel"/>
    <w:lvl w:ilvl="0">
      <w:lvlJc w:val="left"/>
      <w:lvlText w:val="(%1)"/>
      <w:numFmt w:val="lowerLetter"/>
      <w:start w:val="1"/>
    </w:lvl>
  </w:abstractNum>
  <w:abstractNum w:abstractNumId="80">
    <w:nsid w:val="60EF0119"/>
    <w:multiLevelType w:val="hybridMultilevel"/>
    <w:lvl w:ilvl="0">
      <w:lvlJc w:val="left"/>
      <w:lvlText w:val="(%1)"/>
      <w:numFmt w:val="lowerLetter"/>
      <w:start w:val="5"/>
    </w:lvl>
    <w:lvl w:ilvl="1">
      <w:lvlJc w:val="left"/>
      <w:lvlText w:val="(%2)"/>
      <w:numFmt w:val="lowerRoman"/>
      <w:start w:val="2"/>
    </w:lvl>
    <w:lvl w:ilvl="2">
      <w:lvlJc w:val="left"/>
      <w:lvlText w:val="(%3)"/>
      <w:numFmt w:val="lowerRoman"/>
      <w:start w:val="1"/>
    </w:lvl>
    <w:lvl w:ilvl="3">
      <w:lvlJc w:val="left"/>
      <w:lvlText w:val="(%4)"/>
      <w:numFmt w:val="upperLetter"/>
      <w:start w:val="1"/>
    </w:lvl>
  </w:abstractNum>
  <w:abstractNum w:abstractNumId="81">
    <w:nsid w:val="26F324B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upperLetter"/>
      <w:start w:val="1"/>
    </w:lvl>
  </w:abstractNum>
  <w:abstractNum w:abstractNumId="82">
    <w:nsid w:val="7F01579B"/>
    <w:multiLevelType w:val="hybridMultilevel"/>
    <w:lvl w:ilvl="0">
      <w:lvlJc w:val="left"/>
      <w:lvlText w:val="(%1)"/>
      <w:numFmt w:val="lowerLetter"/>
      <w:start w:val="6"/>
    </w:lvl>
  </w:abstractNum>
  <w:abstractNum w:abstractNumId="83">
    <w:nsid w:val="49DA307D"/>
    <w:multiLevelType w:val="hybridMultilevel"/>
    <w:lvl w:ilvl="0">
      <w:lvlJc w:val="left"/>
      <w:lvlText w:val="(%1)"/>
      <w:numFmt w:val="lowerLetter"/>
      <w:start w:val="1"/>
    </w:lvl>
  </w:abstractNum>
  <w:abstractNum w:abstractNumId="84">
    <w:nsid w:val="7055A5F5"/>
    <w:multiLevelType w:val="hybridMultilevel"/>
    <w:lvl w:ilvl="0">
      <w:lvlJc w:val="left"/>
      <w:lvlText w:val="(%1)"/>
      <w:numFmt w:val="lowerLetter"/>
      <w:start w:val="1"/>
    </w:lvl>
  </w:abstractNum>
  <w:abstractNum w:abstractNumId="85">
    <w:nsid w:val="5FB8370B"/>
    <w:multiLevelType w:val="hybridMultilevel"/>
    <w:lvl w:ilvl="0">
      <w:lvlJc w:val="left"/>
      <w:lvlText w:val="(%1)"/>
      <w:numFmt w:val="lowerLetter"/>
      <w:start w:val="1"/>
    </w:lvl>
  </w:abstractNum>
  <w:abstractNum w:abstractNumId="86">
    <w:nsid w:val="50801EE1"/>
    <w:multiLevelType w:val="hybridMultilevel"/>
    <w:lvl w:ilvl="0">
      <w:lvlJc w:val="left"/>
      <w:lvlText w:val="(%1)"/>
      <w:numFmt w:val="lowerLetter"/>
      <w:start w:val="1"/>
    </w:lvl>
  </w:abstractNum>
  <w:abstractNum w:abstractNumId="87">
    <w:nsid w:val="488AC1A"/>
    <w:multiLevelType w:val="hybridMultilevel"/>
    <w:lvl w:ilvl="0">
      <w:lvlJc w:val="left"/>
      <w:lvlText w:val="(%1)"/>
      <w:numFmt w:val="lowerLetter"/>
      <w:start w:val="1"/>
    </w:lvl>
  </w:abstractNum>
  <w:abstractNum w:abstractNumId="88">
    <w:nsid w:val="5FB8011C"/>
    <w:multiLevelType w:val="hybridMultilevel"/>
    <w:lvl w:ilvl="0">
      <w:lvlJc w:val="left"/>
      <w:lvlText w:val="(%1)"/>
      <w:numFmt w:val="lowerLetter"/>
      <w:start w:val="1"/>
    </w:lvl>
  </w:abstractNum>
  <w:abstractNum w:abstractNumId="89">
    <w:nsid w:val="6AA78F7F"/>
    <w:multiLevelType w:val="hybridMultilevel"/>
    <w:lvl w:ilvl="0">
      <w:lvlJc w:val="left"/>
      <w:lvlText w:val="(%1)"/>
      <w:numFmt w:val="lowerLetter"/>
      <w:start w:val="3"/>
    </w:lvl>
  </w:abstractNum>
  <w:abstractNum w:abstractNumId="90">
    <w:nsid w:val="7672BD23"/>
    <w:multiLevelType w:val="hybridMultilevel"/>
    <w:lvl w:ilvl="0">
      <w:lvlJc w:val="left"/>
      <w:lvlText w:val="(%1)"/>
      <w:numFmt w:val="lowerLetter"/>
      <w:start w:val="1"/>
    </w:lvl>
  </w:abstractNum>
  <w:abstractNum w:abstractNumId="91">
    <w:nsid w:val="6FC75AF8"/>
    <w:multiLevelType w:val="hybridMultilevel"/>
    <w:lvl w:ilvl="0">
      <w:lvlJc w:val="left"/>
      <w:lvlText w:val="(%1)"/>
      <w:numFmt w:val="lowerLetter"/>
      <w:start w:val="3"/>
    </w:lvl>
  </w:abstractNum>
  <w:abstractNum w:abstractNumId="92">
    <w:nsid w:val="6A5F7029"/>
    <w:multiLevelType w:val="hybridMultilevel"/>
    <w:lvl w:ilvl="0">
      <w:lvlJc w:val="left"/>
      <w:lvlText w:val="(%1)"/>
      <w:numFmt w:val="lowerLetter"/>
      <w:start w:val="1"/>
    </w:lvl>
    <w:lvl w:ilvl="1">
      <w:lvlJc w:val="left"/>
      <w:lvlText w:val="(%2)"/>
      <w:numFmt w:val="lowerLetter"/>
      <w:start w:val="9"/>
    </w:lvl>
  </w:abstractNum>
  <w:abstractNum w:abstractNumId="93">
    <w:nsid w:val="7D5E18F8"/>
    <w:multiLevelType w:val="hybridMultilevel"/>
    <w:lvl w:ilvl="0">
      <w:lvlJc w:val="left"/>
      <w:lvlText w:val="%1"/>
      <w:numFmt w:val="lowerRoman"/>
      <w:start w:val="1"/>
    </w:lvl>
    <w:lvl w:ilvl="1">
      <w:lvlJc w:val="left"/>
      <w:lvlText w:val="(%2)"/>
      <w:numFmt w:val="lowerRoman"/>
      <w:start w:val="2"/>
    </w:lvl>
  </w:abstractNum>
  <w:abstractNum w:abstractNumId="94">
    <w:nsid w:val="5F3534A4"/>
    <w:multiLevelType w:val="hybridMultilevel"/>
    <w:lvl w:ilvl="0">
      <w:lvlJc w:val="left"/>
      <w:lvlText w:val="(%1)"/>
      <w:numFmt w:val="lowerRoman"/>
      <w:start w:val="3"/>
    </w:lvl>
    <w:lvl w:ilvl="1">
      <w:lvlJc w:val="left"/>
      <w:lvlText w:val="(%2)"/>
      <w:numFmt w:val="lowerRoman"/>
      <w:start w:val="4"/>
    </w:lvl>
  </w:abstractNum>
  <w:abstractNum w:abstractNumId="95">
    <w:nsid w:val="73A1821B"/>
    <w:multiLevelType w:val="hybridMultilevel"/>
    <w:lvl w:ilvl="0">
      <w:lvlJc w:val="left"/>
      <w:lvlText w:val="(%1)"/>
      <w:numFmt w:val="lowerLetter"/>
      <w:start w:val="2"/>
    </w:lvl>
  </w:abstractNum>
  <w:abstractNum w:abstractNumId="96">
    <w:nsid w:val="7DE67713"/>
    <w:multiLevelType w:val="hybridMultilevel"/>
    <w:lvl w:ilvl="0">
      <w:lvlJc w:val="left"/>
      <w:lvlText w:val="(%1)"/>
      <w:numFmt w:val="lowerLetter"/>
      <w:start w:val="1"/>
    </w:lvl>
  </w:abstractNum>
  <w:abstractNum w:abstractNumId="97">
    <w:nsid w:val="555C55B5"/>
    <w:multiLevelType w:val="hybridMultilevel"/>
    <w:lvl w:ilvl="0">
      <w:lvlJc w:val="left"/>
      <w:lvlText w:val="(%1)"/>
      <w:numFmt w:val="lowerLetter"/>
      <w:start w:val="1"/>
    </w:lvl>
  </w:abstractNum>
  <w:abstractNum w:abstractNumId="98">
    <w:nsid w:val="3FA62ACA"/>
    <w:multiLevelType w:val="hybridMultilevel"/>
    <w:lvl w:ilvl="0">
      <w:lvlJc w:val="left"/>
      <w:lvlText w:val="(%1)"/>
      <w:numFmt w:val="upperLetter"/>
      <w:start w:val="1"/>
    </w:lvl>
  </w:abstractNum>
  <w:abstractNum w:abstractNumId="99">
    <w:nsid w:val="14FCE74E"/>
    <w:multiLevelType w:val="hybridMultilevel"/>
    <w:lvl w:ilvl="0">
      <w:lvlJc w:val="left"/>
      <w:lvlText w:val="(%1)"/>
      <w:numFmt w:val="upperLetter"/>
      <w:start w:val="5"/>
    </w:lvl>
  </w:abstractNum>
  <w:abstractNum w:abstractNumId="100">
    <w:nsid w:val="6A3DD3E8"/>
    <w:multiLevelType w:val="hybridMultilevel"/>
    <w:lvl w:ilvl="0">
      <w:lvlJc w:val="left"/>
      <w:lvlText w:val="(%1)"/>
      <w:numFmt w:val="lowerLetter"/>
      <w:start w:val="7"/>
    </w:lvl>
    <w:lvl w:ilvl="1">
      <w:lvlJc w:val="left"/>
      <w:lvlText w:val="(%2)"/>
      <w:numFmt w:val="lowerRoman"/>
      <w:start w:val="1"/>
    </w:lvl>
  </w:abstractNum>
  <w:abstractNum w:abstractNumId="101">
    <w:nsid w:val="71C91298"/>
    <w:multiLevelType w:val="hybridMultilevel"/>
    <w:lvl w:ilvl="0">
      <w:lvlJc w:val="left"/>
      <w:lvlText w:val="(%1)"/>
      <w:numFmt w:val="lowerRoman"/>
      <w:start w:val="3"/>
    </w:lvl>
  </w:abstractNum>
  <w:abstractNum w:abstractNumId="102">
    <w:nsid w:val="9DAF632"/>
    <w:multiLevelType w:val="hybridMultilevel"/>
    <w:lvl w:ilvl="0">
      <w:lvlJc w:val="left"/>
      <w:lvlText w:val="(%1)"/>
      <w:numFmt w:val="lowerLetter"/>
      <w:start w:val="8"/>
    </w:lvl>
  </w:abstractNum>
  <w:abstractNum w:abstractNumId="103">
    <w:nsid w:val="53299938"/>
    <w:multiLevelType w:val="hybridMultilevel"/>
    <w:lvl w:ilvl="0">
      <w:lvlJc w:val="left"/>
      <w:lvlText w:val="(%1)"/>
      <w:numFmt w:val="upperLetter"/>
      <w:start w:val="1"/>
    </w:lvl>
  </w:abstractNum>
  <w:abstractNum w:abstractNumId="104">
    <w:nsid w:val="1FBFE8E0"/>
    <w:multiLevelType w:val="hybridMultilevel"/>
    <w:lvl w:ilvl="0">
      <w:lvlJc w:val="left"/>
      <w:lvlText w:val="(%1)"/>
      <w:numFmt w:val="lowerLetter"/>
      <w:start w:val="16"/>
    </w:lvl>
  </w:abstractNum>
  <w:abstractNum w:abstractNumId="105">
    <w:nsid w:val="5092CA79"/>
    <w:multiLevelType w:val="hybridMultilevel"/>
    <w:lvl w:ilvl="0">
      <w:lvlJc w:val="left"/>
      <w:lvlText w:val="(%1)"/>
      <w:numFmt w:val="lowerLetter"/>
      <w:start w:val="18"/>
    </w:lvl>
  </w:abstractNum>
  <w:abstractNum w:abstractNumId="106">
    <w:nsid w:val="1D545C4D"/>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2020-04-10T05:09:36Z</dcterms:created>
  <dcterms:modified xsi:type="dcterms:W3CDTF">2020-04-10T05:09:36Z</dcterms:modified>
</cp:coreProperties>
</file>