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May 24,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43"/>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July 6, 2018 to shareholders of record on June 8, 2018.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820"/>
              <w:spacing w:after="0"/>
              <w:rPr>
                <w:sz w:val="20"/>
                <w:szCs w:val="20"/>
                <w:color w:val="auto"/>
              </w:rPr>
            </w:pPr>
            <w:r>
              <w:rPr>
                <w:rFonts w:ascii="Arial" w:cs="Arial" w:eastAsia="Arial" w:hAnsi="Arial"/>
                <w:sz w:val="18"/>
                <w:szCs w:val="18"/>
                <w:color w:val="auto"/>
              </w:rPr>
              <w:t>(c)</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446"/>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4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507"/>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Press Release, dated May 24, 2018.</w:t>
            </w:r>
          </w:p>
        </w:tc>
      </w:tr>
      <w:tr>
        <w:trPr>
          <w:trHeight w:val="230"/>
        </w:trPr>
        <w:tc>
          <w:tcPr>
            <w:tcW w:w="1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600" w:type="dxa"/>
            <w:vAlign w:val="bottom"/>
            <w:tcBorders>
              <w:bottom w:val="single" w:sz="8" w:color="9A9A9A"/>
            </w:tcBorders>
          </w:tcPr>
          <w:p>
            <w:pPr>
              <w:spacing w:after="0"/>
              <w:rPr>
                <w:sz w:val="19"/>
                <w:szCs w:val="19"/>
                <w:color w:val="auto"/>
              </w:rPr>
            </w:pPr>
          </w:p>
        </w:tc>
      </w:tr>
      <w:tr>
        <w:trPr>
          <w:trHeight w:val="21"/>
        </w:trPr>
        <w:tc>
          <w:tcPr>
            <w:tcW w:w="13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May 24,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May 24, 2018.</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MIAMI--(BUSINESS WIRE)--May 24, 2018--World Fuel Services Corporation (NYSE:INT) announced today that its board of directors has declared a quarterly cash dividend of $0.06 per share payable on July 6, 2018 to shareholders of record on June 8, 2018.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Assistant Treasurer</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2019-12-28T21:47:09Z</dcterms:created>
  <dcterms:modified xsi:type="dcterms:W3CDTF">2019-12-28T21:47:09Z</dcterms:modified>
</cp:coreProperties>
</file>